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2D9CD" w14:textId="2343B10B" w:rsidR="00F05AF0" w:rsidRPr="00D36A02" w:rsidRDefault="00F05AF0" w:rsidP="00F05AF0">
      <w:pPr>
        <w:jc w:val="right"/>
        <w:rPr>
          <w:rFonts w:ascii="Sylfaen" w:hAnsi="Sylfaen"/>
          <w:i/>
          <w:lang w:val="ka-GE"/>
        </w:rPr>
      </w:pPr>
      <w:r w:rsidRPr="00D36A02">
        <w:rPr>
          <w:rFonts w:ascii="Sylfaen" w:hAnsi="Sylfaen"/>
          <w:i/>
          <w:lang w:val="ka-GE"/>
        </w:rPr>
        <w:t>დანართი</w:t>
      </w:r>
      <w:r w:rsidR="00630424" w:rsidRPr="00D36A02">
        <w:rPr>
          <w:rFonts w:ascii="Sylfaen" w:hAnsi="Sylfaen"/>
          <w:i/>
          <w:lang w:val="ka-GE"/>
        </w:rPr>
        <w:t xml:space="preserve"> N3</w:t>
      </w:r>
    </w:p>
    <w:p w14:paraId="333A4E49" w14:textId="0E81B103" w:rsidR="00F05AF0" w:rsidRPr="00D36A02" w:rsidRDefault="00F05AF0" w:rsidP="00F05AF0">
      <w:pPr>
        <w:jc w:val="center"/>
        <w:rPr>
          <w:rFonts w:ascii="Sylfaen" w:hAnsi="Sylfaen"/>
          <w:b/>
          <w:lang w:val="ka-GE"/>
        </w:rPr>
      </w:pPr>
      <w:r w:rsidRPr="00D36A02">
        <w:rPr>
          <w:rFonts w:ascii="Sylfaen" w:hAnsi="Sylfaen"/>
          <w:b/>
          <w:lang w:val="ka-GE"/>
        </w:rPr>
        <w:t xml:space="preserve">პროგრამის </w:t>
      </w:r>
      <w:r w:rsidR="009C6F43" w:rsidRPr="00D36A02">
        <w:rPr>
          <w:rFonts w:ascii="Sylfaen" w:hAnsi="Sylfaen"/>
          <w:b/>
          <w:lang w:val="ka-GE"/>
        </w:rPr>
        <w:t xml:space="preserve">ფარგლებში </w:t>
      </w:r>
      <w:r w:rsidRPr="00D36A02">
        <w:rPr>
          <w:rFonts w:ascii="Sylfaen" w:hAnsi="Sylfaen"/>
          <w:b/>
          <w:lang w:val="ka-GE"/>
        </w:rPr>
        <w:t xml:space="preserve">სატრანსპორტო </w:t>
      </w:r>
      <w:r w:rsidR="009C6F43" w:rsidRPr="00D36A02">
        <w:rPr>
          <w:rFonts w:ascii="Sylfaen" w:hAnsi="Sylfaen"/>
          <w:b/>
          <w:lang w:val="ka-GE"/>
        </w:rPr>
        <w:t xml:space="preserve">საშულებების შეძენა/რემონტის </w:t>
      </w:r>
      <w:r w:rsidR="002E43F4" w:rsidRPr="00D36A02">
        <w:rPr>
          <w:rFonts w:ascii="Sylfaen" w:hAnsi="Sylfaen"/>
          <w:b/>
          <w:lang w:val="ka-GE"/>
        </w:rPr>
        <w:t>შეზღუდვ</w:t>
      </w:r>
      <w:r w:rsidR="009C6F43" w:rsidRPr="00D36A02">
        <w:rPr>
          <w:rFonts w:ascii="Sylfaen" w:hAnsi="Sylfaen"/>
          <w:b/>
          <w:lang w:val="ka-GE"/>
        </w:rPr>
        <w:t>ის საგამონაკლისო შემთხვევები</w:t>
      </w:r>
    </w:p>
    <w:p w14:paraId="5EDA24ED" w14:textId="695CC405" w:rsidR="00F05AF0" w:rsidRPr="00D36A02" w:rsidRDefault="00ED5AE8" w:rsidP="00ED5AE8">
      <w:pPr>
        <w:jc w:val="both"/>
        <w:rPr>
          <w:rFonts w:ascii="Sylfaen" w:hAnsi="Sylfaen"/>
          <w:lang w:val="ka-GE"/>
        </w:rPr>
      </w:pPr>
      <w:r w:rsidRPr="00D36A02">
        <w:rPr>
          <w:rFonts w:ascii="Sylfaen" w:hAnsi="Sylfaen"/>
          <w:lang w:val="ka-GE"/>
        </w:rPr>
        <w:t>პროგრამის 12</w:t>
      </w:r>
      <w:r w:rsidRPr="00D36A02">
        <w:rPr>
          <w:rFonts w:ascii="Sylfaen" w:hAnsi="Sylfaen"/>
          <w:vertAlign w:val="superscript"/>
          <w:lang w:val="ka-GE"/>
        </w:rPr>
        <w:t>30</w:t>
      </w:r>
      <w:r w:rsidRPr="00D36A02">
        <w:rPr>
          <w:rFonts w:ascii="Sylfaen" w:hAnsi="Sylfaen"/>
          <w:lang w:val="ka-GE"/>
        </w:rPr>
        <w:t xml:space="preserve"> მუხლის მე-6 პუნქტის „ბ“ ქვეპუნქტის შესაბამისად </w:t>
      </w:r>
      <w:r w:rsidR="00087F7A" w:rsidRPr="00D36A02">
        <w:rPr>
          <w:rFonts w:ascii="Sylfaen" w:hAnsi="Sylfaen"/>
          <w:lang w:val="ka-GE"/>
        </w:rPr>
        <w:t xml:space="preserve">პროგრამის ფარგლებში გაცემული სესხით/სალიზინგო პროექტით </w:t>
      </w:r>
      <w:r w:rsidRPr="00D36A02">
        <w:rPr>
          <w:rFonts w:ascii="Sylfaen" w:hAnsi="Sylfaen"/>
          <w:lang w:val="ka-GE"/>
        </w:rPr>
        <w:t xml:space="preserve">სატრანსპორტო საშუალებების </w:t>
      </w:r>
      <w:r w:rsidR="00087F7A" w:rsidRPr="00D36A02">
        <w:rPr>
          <w:rFonts w:ascii="Sylfaen" w:hAnsi="Sylfaen"/>
          <w:lang w:val="ka-GE"/>
        </w:rPr>
        <w:t>შეძენის</w:t>
      </w:r>
      <w:r w:rsidRPr="00D36A02">
        <w:rPr>
          <w:rFonts w:ascii="Sylfaen" w:hAnsi="Sylfaen"/>
          <w:lang w:val="ka-GE"/>
        </w:rPr>
        <w:t xml:space="preserve"> ან/და რემონტის აკრძალვა არ მ</w:t>
      </w:r>
      <w:r w:rsidR="00F05AF0" w:rsidRPr="00D36A02">
        <w:rPr>
          <w:rFonts w:ascii="Sylfaen" w:hAnsi="Sylfaen"/>
          <w:lang w:val="ka-GE"/>
        </w:rPr>
        <w:t>ოქმედებს:</w:t>
      </w:r>
    </w:p>
    <w:p w14:paraId="71C79334" w14:textId="77777777" w:rsidR="00F05AF0" w:rsidRPr="00D36A02" w:rsidRDefault="00F05AF0" w:rsidP="00F05AF0">
      <w:pPr>
        <w:jc w:val="both"/>
        <w:rPr>
          <w:rFonts w:ascii="Sylfaen" w:hAnsi="Sylfaen"/>
          <w:lang w:val="ka-GE"/>
        </w:rPr>
      </w:pPr>
      <w:r w:rsidRPr="00D36A02">
        <w:rPr>
          <w:rFonts w:ascii="Sylfaen" w:hAnsi="Sylfaen"/>
          <w:lang w:val="ka-GE"/>
        </w:rPr>
        <w:t>1) ისეთი სპეციალური სატრანსპორტო საშუალების შემთხვევაში, რომელიც უშუალოდ გამოიყენება საწარმოს ტერიტორიაზე პროდუქციის/მომსახურებ</w:t>
      </w:r>
      <w:bookmarkStart w:id="0" w:name="_GoBack"/>
      <w:bookmarkEnd w:id="0"/>
      <w:r w:rsidRPr="00D36A02">
        <w:rPr>
          <w:rFonts w:ascii="Sylfaen" w:hAnsi="Sylfaen"/>
          <w:lang w:val="ka-GE"/>
        </w:rPr>
        <w:t>ის წარმოების პროცესში;</w:t>
      </w:r>
    </w:p>
    <w:p w14:paraId="4146CF0F" w14:textId="19C8C31B" w:rsidR="00F05AF0" w:rsidRPr="00D36A02" w:rsidRDefault="00E25C24" w:rsidP="00F05AF0">
      <w:pPr>
        <w:jc w:val="both"/>
        <w:rPr>
          <w:rFonts w:ascii="Sylfaen" w:hAnsi="Sylfaen"/>
          <w:lang w:val="ka-GE"/>
        </w:rPr>
      </w:pPr>
      <w:r w:rsidRPr="00D36A02">
        <w:rPr>
          <w:rFonts w:ascii="Sylfaen" w:hAnsi="Sylfaen"/>
          <w:lang w:val="ka-GE"/>
        </w:rPr>
        <w:t>2</w:t>
      </w:r>
      <w:r w:rsidR="00F05AF0" w:rsidRPr="00D36A02">
        <w:rPr>
          <w:rFonts w:ascii="Sylfaen" w:hAnsi="Sylfaen"/>
          <w:lang w:val="ka-GE"/>
        </w:rPr>
        <w:t xml:space="preserve">) </w:t>
      </w:r>
      <w:r w:rsidR="00F05AF0" w:rsidRPr="00D36A02">
        <w:rPr>
          <w:rFonts w:ascii="Sylfaen" w:hAnsi="Sylfaen"/>
          <w:b/>
          <w:lang w:val="ka-GE"/>
        </w:rPr>
        <w:t xml:space="preserve">49.39.0 </w:t>
      </w:r>
      <w:r w:rsidR="00F05AF0" w:rsidRPr="00D36A02">
        <w:rPr>
          <w:rFonts w:ascii="Sylfaen" w:hAnsi="Sylfaen"/>
          <w:lang w:val="ka-GE"/>
        </w:rPr>
        <w:t>– „სხვა სამგზავრო სახმელეთო ტრანსპორტი, სხვა დაჯგუფებებში ჩაურთველი“ ეკონომიკური საქმიანობისას, თუმცა არაუგვიანეს 2026 წლის 30 სექტემბრის ჩათვლით ან/და სანამ ამ საქმიანობის კოდის ფარგლებში ცვლილების შეტანის მომენტიდან დამტკიცებული სესხ(ებ)ის/სალიზინგო პროექტ(ებ)ის ჯამური მოცულობა არ გადააჭარბებს 50 მლნ ლარს. დასახელებული ეკონომიკური საქმიანობის ფარგლებში დასაშვებია მხოლოდ „ტექნიკური რეგლამენტის „სხვადასხვა კატეგორიის ავტოსატრანსპორტო საშუალებების ინსპექტირების პერიოდულობისა და საფასურების“ დამტკიცების თაობაზე“ საქართველოს მთავრობის 2014 წლის 3 იანვრის №37 დადგენილებით განსაზღვრული M3 კატეგორიის 2013 წელს ან მის შემდეგ გამოშვებული ავტოსატრანსპორტო საშუალების შეძენა/რემონტი</w:t>
      </w:r>
      <w:r w:rsidR="00DE6D08" w:rsidRPr="00D36A02">
        <w:rPr>
          <w:rFonts w:ascii="Sylfaen" w:hAnsi="Sylfaen"/>
          <w:lang w:val="ka-GE"/>
        </w:rPr>
        <w:t xml:space="preserve">. </w:t>
      </w:r>
      <w:r w:rsidR="008F6661" w:rsidRPr="00D36A02">
        <w:rPr>
          <w:rFonts w:ascii="Sylfaen" w:hAnsi="Sylfaen"/>
          <w:lang w:val="ka-GE"/>
        </w:rPr>
        <w:t>აღნიშნული ეკონომიკური საქმიანობით დაშვებულია მხოლოდ საქართველოს ტერიტორიის ფარგლებში რეგულარული სამგზავრო გადაყვანა (გარდა მუნიციპალიტეტის ადმინისტრაციულ საზღვრებში რეგულარული სამგზავრო გადაყვანისა), რომელიც აკმაყოფილებს „საავტომობილო ტრანსპორტის შესახებ“ საქართველოს კანონითა და ამ საქმიანობასთან დაკავშირებული სხვა სამართლებრივი აქტებით  განსაზღვრულ მოთხოვნებს.</w:t>
      </w:r>
    </w:p>
    <w:p w14:paraId="4FFE7B79" w14:textId="62C9DE8A" w:rsidR="00DE6D08" w:rsidRPr="00D36A02" w:rsidRDefault="00E25C24" w:rsidP="00DE6D08">
      <w:pPr>
        <w:jc w:val="both"/>
        <w:rPr>
          <w:rFonts w:ascii="Sylfaen" w:hAnsi="Sylfaen"/>
          <w:lang w:val="ka-GE"/>
        </w:rPr>
      </w:pPr>
      <w:r w:rsidRPr="00D36A02">
        <w:rPr>
          <w:rFonts w:ascii="Sylfaen" w:hAnsi="Sylfaen"/>
          <w:lang w:val="ka-GE"/>
        </w:rPr>
        <w:t>3</w:t>
      </w:r>
      <w:r w:rsidR="00DE6D08" w:rsidRPr="00D36A02">
        <w:rPr>
          <w:rFonts w:ascii="Sylfaen" w:hAnsi="Sylfaen"/>
          <w:lang w:val="ka-GE"/>
        </w:rPr>
        <w:t xml:space="preserve">) </w:t>
      </w:r>
      <w:r w:rsidR="00DE6D08" w:rsidRPr="00D36A02">
        <w:rPr>
          <w:rFonts w:ascii="Sylfaen" w:hAnsi="Sylfaen"/>
          <w:b/>
          <w:lang w:val="ka-GE"/>
        </w:rPr>
        <w:t>50.10.0</w:t>
      </w:r>
      <w:r w:rsidR="00DE6D08" w:rsidRPr="00D36A02">
        <w:rPr>
          <w:rFonts w:ascii="Sylfaen" w:hAnsi="Sylfaen"/>
          <w:lang w:val="ka-GE"/>
        </w:rPr>
        <w:t xml:space="preserve"> – „საზღვაო  და საკაბოტაჟო სამგზავრო ტრანსპორტი“ და </w:t>
      </w:r>
      <w:r w:rsidR="00DE6D08" w:rsidRPr="00D36A02">
        <w:rPr>
          <w:rFonts w:ascii="Sylfaen" w:hAnsi="Sylfaen"/>
          <w:b/>
          <w:lang w:val="ka-GE"/>
        </w:rPr>
        <w:t>50.20.0</w:t>
      </w:r>
      <w:r w:rsidR="00DE6D08" w:rsidRPr="00D36A02">
        <w:rPr>
          <w:rFonts w:ascii="Sylfaen" w:hAnsi="Sylfaen"/>
          <w:lang w:val="ka-GE"/>
        </w:rPr>
        <w:t xml:space="preserve"> − „საზღვაო და საკაბოტაჟო სატვირთო ტრანსპორტის“ ეკონომიკური საქმიანობისთვის. დასახელებულ ეკონომიკურ საქმიანობაში დასაშვებია მხოლოდ საქართველოს საზღვაო კოდექსით განსაზღვრული საქართველოს სახელმწიფოს დროშის ქვეშ მცურავი სატვირთო ან/და სატვირთო-სამგზავრო, დიდი გემის შეძენა/რემონტი;</w:t>
      </w:r>
    </w:p>
    <w:p w14:paraId="54823F40" w14:textId="072BC1C4" w:rsidR="00ED5AE8" w:rsidRPr="00D36A02" w:rsidRDefault="00E25C24" w:rsidP="00ED5AE8">
      <w:pPr>
        <w:jc w:val="both"/>
        <w:rPr>
          <w:rFonts w:ascii="Sylfaen" w:hAnsi="Sylfaen"/>
        </w:rPr>
      </w:pPr>
      <w:r w:rsidRPr="00D36A02">
        <w:rPr>
          <w:rFonts w:ascii="Sylfaen" w:hAnsi="Sylfaen"/>
          <w:lang w:val="ka-GE"/>
        </w:rPr>
        <w:t>4</w:t>
      </w:r>
      <w:r w:rsidR="00ED5AE8" w:rsidRPr="00D36A02">
        <w:rPr>
          <w:rFonts w:ascii="Sylfaen" w:hAnsi="Sylfaen"/>
          <w:lang w:val="ka-GE"/>
        </w:rPr>
        <w:t xml:space="preserve">) ქვემოთ მოცემული ეკონომიკური საქმიანობების შემთხვევაში, თუ სატრანსპორტო საშუალებების (გარდა  „საგზაო მოძრაობის შესახებ“ საქართველოს კანონის შესაბამისად განსაზღვრული მსუბუქი ავტომობილისა) შეძენის/რემონტის ღირებულება შეადგენს პროგრამის ფარგლებში </w:t>
      </w:r>
      <w:r w:rsidR="00DB4EFC" w:rsidRPr="00D36A02">
        <w:rPr>
          <w:rFonts w:ascii="Sylfaen" w:hAnsi="Sylfaen"/>
          <w:lang w:val="ka-GE"/>
        </w:rPr>
        <w:t>გაცემულ</w:t>
      </w:r>
      <w:r w:rsidR="00ED5AE8" w:rsidRPr="00D36A02">
        <w:rPr>
          <w:rFonts w:ascii="Sylfaen" w:hAnsi="Sylfaen"/>
          <w:lang w:val="ka-GE"/>
        </w:rPr>
        <w:t xml:space="preserve">ი სესხის/სალიზინგო პროექტის მთლიანი ღირებულების არაუმეტეს </w:t>
      </w:r>
      <w:r w:rsidR="009173A3" w:rsidRPr="00D36A02">
        <w:rPr>
          <w:rFonts w:ascii="Sylfaen" w:hAnsi="Sylfaen"/>
          <w:lang w:val="ka-GE"/>
        </w:rPr>
        <w:t>5</w:t>
      </w:r>
      <w:r w:rsidR="00ED5AE8" w:rsidRPr="00D36A02">
        <w:rPr>
          <w:rFonts w:ascii="Sylfaen" w:hAnsi="Sylfaen"/>
          <w:lang w:val="ka-GE"/>
        </w:rPr>
        <w:t>0%-ს:</w:t>
      </w:r>
      <w:r w:rsidR="009B6B1A" w:rsidRPr="00D36A02">
        <w:rPr>
          <w:rFonts w:ascii="Sylfaen" w:hAnsi="Sylfaen"/>
        </w:rPr>
        <w:t xml:space="preserve"> </w:t>
      </w:r>
    </w:p>
    <w:tbl>
      <w:tblPr>
        <w:tblStyle w:val="TableGrid"/>
        <w:tblW w:w="0" w:type="auto"/>
        <w:tblLook w:val="04A0" w:firstRow="1" w:lastRow="0" w:firstColumn="1" w:lastColumn="0" w:noHBand="0" w:noVBand="1"/>
      </w:tblPr>
      <w:tblGrid>
        <w:gridCol w:w="704"/>
        <w:gridCol w:w="1134"/>
        <w:gridCol w:w="7512"/>
      </w:tblGrid>
      <w:tr w:rsidR="00A0451D" w:rsidRPr="00D36A02" w14:paraId="2853FAE9" w14:textId="77777777" w:rsidTr="00A0451D">
        <w:tc>
          <w:tcPr>
            <w:tcW w:w="704" w:type="dxa"/>
            <w:vAlign w:val="center"/>
          </w:tcPr>
          <w:p w14:paraId="23C15B0F" w14:textId="77777777" w:rsidR="00A0451D" w:rsidRPr="00D36A02" w:rsidRDefault="00A0451D" w:rsidP="002A7828">
            <w:pPr>
              <w:spacing w:line="259" w:lineRule="auto"/>
              <w:jc w:val="center"/>
              <w:rPr>
                <w:rFonts w:ascii="Sylfaen" w:hAnsi="Sylfaen"/>
                <w:lang w:val="ka-GE"/>
              </w:rPr>
            </w:pPr>
            <w:r w:rsidRPr="00D36A02">
              <w:rPr>
                <w:rFonts w:ascii="Sylfaen" w:hAnsi="Sylfaen"/>
                <w:lang w:val="ka-GE"/>
              </w:rPr>
              <w:t>H</w:t>
            </w:r>
          </w:p>
        </w:tc>
        <w:tc>
          <w:tcPr>
            <w:tcW w:w="1134" w:type="dxa"/>
            <w:vAlign w:val="center"/>
          </w:tcPr>
          <w:p w14:paraId="4BCF1C00" w14:textId="77777777" w:rsidR="00A0451D" w:rsidRPr="00D36A02" w:rsidRDefault="00A0451D" w:rsidP="002A7828">
            <w:pPr>
              <w:spacing w:line="259" w:lineRule="auto"/>
              <w:jc w:val="center"/>
              <w:rPr>
                <w:rFonts w:ascii="Sylfaen" w:hAnsi="Sylfaen"/>
                <w:lang w:val="ka-GE"/>
              </w:rPr>
            </w:pPr>
            <w:r w:rsidRPr="00D36A02">
              <w:rPr>
                <w:rFonts w:ascii="Sylfaen" w:hAnsi="Sylfaen"/>
                <w:lang w:val="ka-GE"/>
              </w:rPr>
              <w:t>49.41.0</w:t>
            </w:r>
          </w:p>
        </w:tc>
        <w:tc>
          <w:tcPr>
            <w:tcW w:w="7512" w:type="dxa"/>
            <w:vAlign w:val="center"/>
          </w:tcPr>
          <w:p w14:paraId="637205C3" w14:textId="77777777" w:rsidR="00A0451D" w:rsidRPr="00D36A02" w:rsidRDefault="00A0451D" w:rsidP="002A7828">
            <w:pPr>
              <w:spacing w:line="259" w:lineRule="auto"/>
              <w:rPr>
                <w:rFonts w:ascii="Sylfaen" w:hAnsi="Sylfaen"/>
                <w:lang w:val="ka-GE"/>
              </w:rPr>
            </w:pPr>
            <w:r w:rsidRPr="00D36A02">
              <w:rPr>
                <w:rFonts w:ascii="Sylfaen" w:hAnsi="Sylfaen"/>
                <w:lang w:val="ka-GE"/>
              </w:rPr>
              <w:t>სატვირთო საგზაო ტრანსპორტი</w:t>
            </w:r>
          </w:p>
        </w:tc>
      </w:tr>
      <w:tr w:rsidR="00A0451D" w:rsidRPr="00D36A02" w14:paraId="70F0FE23" w14:textId="77777777" w:rsidTr="00A0451D">
        <w:tc>
          <w:tcPr>
            <w:tcW w:w="704" w:type="dxa"/>
            <w:vAlign w:val="center"/>
          </w:tcPr>
          <w:p w14:paraId="38CD73CB" w14:textId="77777777" w:rsidR="00A0451D" w:rsidRPr="00D36A02" w:rsidRDefault="00A0451D" w:rsidP="002A7828">
            <w:pPr>
              <w:spacing w:line="259" w:lineRule="auto"/>
              <w:jc w:val="center"/>
              <w:rPr>
                <w:rFonts w:ascii="Sylfaen" w:hAnsi="Sylfaen"/>
                <w:lang w:val="ka-GE"/>
              </w:rPr>
            </w:pPr>
            <w:r w:rsidRPr="00D36A02">
              <w:rPr>
                <w:rFonts w:ascii="Sylfaen" w:hAnsi="Sylfaen"/>
                <w:lang w:val="ka-GE"/>
              </w:rPr>
              <w:t>H</w:t>
            </w:r>
          </w:p>
        </w:tc>
        <w:tc>
          <w:tcPr>
            <w:tcW w:w="1134" w:type="dxa"/>
            <w:vAlign w:val="center"/>
          </w:tcPr>
          <w:p w14:paraId="3CE00099" w14:textId="77777777" w:rsidR="00A0451D" w:rsidRPr="00D36A02" w:rsidRDefault="00A0451D" w:rsidP="002A7828">
            <w:pPr>
              <w:spacing w:line="259" w:lineRule="auto"/>
              <w:jc w:val="center"/>
              <w:rPr>
                <w:rFonts w:ascii="Sylfaen" w:hAnsi="Sylfaen"/>
                <w:lang w:val="ka-GE"/>
              </w:rPr>
            </w:pPr>
            <w:r w:rsidRPr="00D36A02">
              <w:rPr>
                <w:rFonts w:ascii="Sylfaen" w:hAnsi="Sylfaen"/>
                <w:lang w:val="ka-GE"/>
              </w:rPr>
              <w:t>49.42.0</w:t>
            </w:r>
          </w:p>
        </w:tc>
        <w:tc>
          <w:tcPr>
            <w:tcW w:w="7512" w:type="dxa"/>
            <w:vAlign w:val="center"/>
          </w:tcPr>
          <w:p w14:paraId="7883BCDA" w14:textId="77777777" w:rsidR="00A0451D" w:rsidRPr="00D36A02" w:rsidRDefault="00A0451D" w:rsidP="002A7828">
            <w:pPr>
              <w:spacing w:line="259" w:lineRule="auto"/>
              <w:rPr>
                <w:rFonts w:ascii="Sylfaen" w:hAnsi="Sylfaen"/>
                <w:lang w:val="ka-GE"/>
              </w:rPr>
            </w:pPr>
            <w:r w:rsidRPr="00D36A02">
              <w:rPr>
                <w:rFonts w:ascii="Sylfaen" w:hAnsi="Sylfaen"/>
                <w:lang w:val="ka-GE"/>
              </w:rPr>
              <w:t>გადაზიდვის მომსახურება</w:t>
            </w:r>
          </w:p>
        </w:tc>
      </w:tr>
      <w:tr w:rsidR="00DE6D08" w:rsidRPr="00D36A02" w14:paraId="10B6C08E" w14:textId="77777777" w:rsidTr="00A0451D">
        <w:tc>
          <w:tcPr>
            <w:tcW w:w="704" w:type="dxa"/>
            <w:vAlign w:val="center"/>
          </w:tcPr>
          <w:p w14:paraId="68C78FD6" w14:textId="4E05CBFF" w:rsidR="00DE6D08" w:rsidRPr="00D36A02" w:rsidRDefault="00DE6D08" w:rsidP="002A7828">
            <w:pPr>
              <w:jc w:val="center"/>
              <w:rPr>
                <w:rFonts w:ascii="Sylfaen" w:hAnsi="Sylfaen"/>
              </w:rPr>
            </w:pPr>
            <w:r w:rsidRPr="00D36A02">
              <w:rPr>
                <w:rFonts w:ascii="Sylfaen" w:hAnsi="Sylfaen"/>
              </w:rPr>
              <w:t>H</w:t>
            </w:r>
          </w:p>
        </w:tc>
        <w:tc>
          <w:tcPr>
            <w:tcW w:w="1134" w:type="dxa"/>
            <w:vAlign w:val="center"/>
          </w:tcPr>
          <w:p w14:paraId="4AE5E447" w14:textId="51D18969" w:rsidR="00DE6D08" w:rsidRPr="00D36A02" w:rsidRDefault="00DE6D08" w:rsidP="002A7828">
            <w:pPr>
              <w:jc w:val="center"/>
              <w:rPr>
                <w:rFonts w:ascii="Sylfaen" w:hAnsi="Sylfaen"/>
              </w:rPr>
            </w:pPr>
            <w:r w:rsidRPr="00D36A02">
              <w:rPr>
                <w:rFonts w:ascii="Sylfaen" w:hAnsi="Sylfaen"/>
              </w:rPr>
              <w:t>52.10.0</w:t>
            </w:r>
          </w:p>
        </w:tc>
        <w:tc>
          <w:tcPr>
            <w:tcW w:w="7512" w:type="dxa"/>
            <w:vAlign w:val="center"/>
          </w:tcPr>
          <w:p w14:paraId="707341F8" w14:textId="5BBACBEE" w:rsidR="00DE6D08" w:rsidRPr="00D36A02" w:rsidRDefault="00DE6D08" w:rsidP="002A7828">
            <w:pPr>
              <w:rPr>
                <w:rFonts w:ascii="Sylfaen" w:hAnsi="Sylfaen"/>
                <w:lang w:val="ka-GE"/>
              </w:rPr>
            </w:pPr>
            <w:r w:rsidRPr="00D36A02">
              <w:rPr>
                <w:rFonts w:ascii="Sylfaen" w:hAnsi="Sylfaen"/>
                <w:lang w:val="ka-GE"/>
              </w:rPr>
              <w:t>დასაწყობება და შენახვა</w:t>
            </w:r>
          </w:p>
        </w:tc>
      </w:tr>
      <w:tr w:rsidR="00A0451D" w:rsidRPr="00D36A02" w14:paraId="3E76C446" w14:textId="77777777" w:rsidTr="00A0451D">
        <w:tc>
          <w:tcPr>
            <w:tcW w:w="704" w:type="dxa"/>
            <w:vAlign w:val="center"/>
          </w:tcPr>
          <w:p w14:paraId="68528A29" w14:textId="77777777" w:rsidR="00A0451D" w:rsidRPr="00D36A02" w:rsidRDefault="00A0451D" w:rsidP="002A7828">
            <w:pPr>
              <w:spacing w:line="259" w:lineRule="auto"/>
              <w:jc w:val="center"/>
              <w:rPr>
                <w:rFonts w:ascii="Sylfaen" w:hAnsi="Sylfaen"/>
                <w:lang w:val="ka-GE"/>
              </w:rPr>
            </w:pPr>
            <w:r w:rsidRPr="00D36A02">
              <w:rPr>
                <w:rFonts w:ascii="Sylfaen" w:hAnsi="Sylfaen"/>
                <w:lang w:val="ka-GE"/>
              </w:rPr>
              <w:t>H</w:t>
            </w:r>
          </w:p>
        </w:tc>
        <w:tc>
          <w:tcPr>
            <w:tcW w:w="1134" w:type="dxa"/>
            <w:vAlign w:val="center"/>
          </w:tcPr>
          <w:p w14:paraId="418B3411" w14:textId="77777777" w:rsidR="00A0451D" w:rsidRPr="00D36A02" w:rsidRDefault="00A0451D" w:rsidP="002A7828">
            <w:pPr>
              <w:spacing w:line="259" w:lineRule="auto"/>
              <w:jc w:val="center"/>
              <w:rPr>
                <w:rFonts w:ascii="Sylfaen" w:hAnsi="Sylfaen"/>
                <w:lang w:val="ka-GE"/>
              </w:rPr>
            </w:pPr>
            <w:r w:rsidRPr="00D36A02">
              <w:rPr>
                <w:rFonts w:ascii="Sylfaen" w:hAnsi="Sylfaen"/>
                <w:lang w:val="ka-GE"/>
              </w:rPr>
              <w:t>52.21.0</w:t>
            </w:r>
          </w:p>
        </w:tc>
        <w:tc>
          <w:tcPr>
            <w:tcW w:w="7512" w:type="dxa"/>
            <w:vAlign w:val="center"/>
          </w:tcPr>
          <w:p w14:paraId="14593C9B" w14:textId="77777777" w:rsidR="00A0451D" w:rsidRPr="00D36A02" w:rsidRDefault="00A0451D" w:rsidP="002A7828">
            <w:pPr>
              <w:spacing w:line="259" w:lineRule="auto"/>
              <w:rPr>
                <w:rFonts w:ascii="Sylfaen" w:hAnsi="Sylfaen"/>
                <w:lang w:val="ka-GE"/>
              </w:rPr>
            </w:pPr>
            <w:r w:rsidRPr="00D36A02">
              <w:rPr>
                <w:rFonts w:ascii="Sylfaen" w:hAnsi="Sylfaen"/>
                <w:lang w:val="ka-GE"/>
              </w:rPr>
              <w:t>სახმელეთო ტრანსპორტთან დაკავშირებული მომსახურება</w:t>
            </w:r>
          </w:p>
        </w:tc>
      </w:tr>
      <w:tr w:rsidR="00A0451D" w:rsidRPr="00D36A02" w14:paraId="799A8253" w14:textId="77777777" w:rsidTr="00A0451D">
        <w:tc>
          <w:tcPr>
            <w:tcW w:w="704" w:type="dxa"/>
            <w:vAlign w:val="center"/>
          </w:tcPr>
          <w:p w14:paraId="6D549395" w14:textId="77777777" w:rsidR="00A0451D" w:rsidRPr="00D36A02" w:rsidRDefault="00A0451D" w:rsidP="002A7828">
            <w:pPr>
              <w:spacing w:line="259" w:lineRule="auto"/>
              <w:jc w:val="center"/>
              <w:rPr>
                <w:rFonts w:ascii="Sylfaen" w:hAnsi="Sylfaen"/>
                <w:lang w:val="ka-GE"/>
              </w:rPr>
            </w:pPr>
            <w:r w:rsidRPr="00D36A02">
              <w:rPr>
                <w:rFonts w:ascii="Sylfaen" w:hAnsi="Sylfaen"/>
                <w:lang w:val="ka-GE"/>
              </w:rPr>
              <w:t>H</w:t>
            </w:r>
          </w:p>
        </w:tc>
        <w:tc>
          <w:tcPr>
            <w:tcW w:w="1134" w:type="dxa"/>
            <w:vAlign w:val="center"/>
          </w:tcPr>
          <w:p w14:paraId="60AEB962" w14:textId="77777777" w:rsidR="00A0451D" w:rsidRPr="00D36A02" w:rsidRDefault="00A0451D" w:rsidP="002A7828">
            <w:pPr>
              <w:spacing w:line="259" w:lineRule="auto"/>
              <w:jc w:val="center"/>
              <w:rPr>
                <w:rFonts w:ascii="Sylfaen" w:hAnsi="Sylfaen"/>
                <w:lang w:val="ka-GE"/>
              </w:rPr>
            </w:pPr>
            <w:r w:rsidRPr="00D36A02">
              <w:rPr>
                <w:rFonts w:ascii="Sylfaen" w:hAnsi="Sylfaen"/>
                <w:lang w:val="ka-GE"/>
              </w:rPr>
              <w:t>52.22.0</w:t>
            </w:r>
          </w:p>
        </w:tc>
        <w:tc>
          <w:tcPr>
            <w:tcW w:w="7512" w:type="dxa"/>
            <w:vAlign w:val="center"/>
          </w:tcPr>
          <w:p w14:paraId="2A0AC0FD" w14:textId="77777777" w:rsidR="00A0451D" w:rsidRPr="00D36A02" w:rsidRDefault="00A0451D" w:rsidP="002A7828">
            <w:pPr>
              <w:spacing w:line="259" w:lineRule="auto"/>
              <w:rPr>
                <w:rFonts w:ascii="Sylfaen" w:hAnsi="Sylfaen"/>
                <w:lang w:val="ka-GE"/>
              </w:rPr>
            </w:pPr>
            <w:r w:rsidRPr="00D36A02">
              <w:rPr>
                <w:rFonts w:ascii="Sylfaen" w:hAnsi="Sylfaen"/>
                <w:lang w:val="ka-GE"/>
              </w:rPr>
              <w:t>წყლის ტრანსპორტთან დაკავშირებული მომსახურება</w:t>
            </w:r>
          </w:p>
        </w:tc>
      </w:tr>
      <w:tr w:rsidR="00A0451D" w:rsidRPr="00D36A02" w14:paraId="5AD28C54" w14:textId="77777777" w:rsidTr="00A0451D">
        <w:tc>
          <w:tcPr>
            <w:tcW w:w="704" w:type="dxa"/>
            <w:vAlign w:val="center"/>
          </w:tcPr>
          <w:p w14:paraId="378690E1" w14:textId="77777777" w:rsidR="00A0451D" w:rsidRPr="00D36A02" w:rsidRDefault="00A0451D" w:rsidP="002A7828">
            <w:pPr>
              <w:spacing w:line="259" w:lineRule="auto"/>
              <w:jc w:val="center"/>
              <w:rPr>
                <w:rFonts w:ascii="Sylfaen" w:hAnsi="Sylfaen"/>
                <w:lang w:val="ka-GE"/>
              </w:rPr>
            </w:pPr>
            <w:r w:rsidRPr="00D36A02">
              <w:rPr>
                <w:rFonts w:ascii="Sylfaen" w:hAnsi="Sylfaen"/>
                <w:lang w:val="ka-GE"/>
              </w:rPr>
              <w:lastRenderedPageBreak/>
              <w:t>H</w:t>
            </w:r>
          </w:p>
        </w:tc>
        <w:tc>
          <w:tcPr>
            <w:tcW w:w="1134" w:type="dxa"/>
            <w:vAlign w:val="center"/>
          </w:tcPr>
          <w:p w14:paraId="4070E2C7" w14:textId="77777777" w:rsidR="00A0451D" w:rsidRPr="00D36A02" w:rsidRDefault="00A0451D" w:rsidP="002A7828">
            <w:pPr>
              <w:spacing w:line="259" w:lineRule="auto"/>
              <w:jc w:val="center"/>
              <w:rPr>
                <w:rFonts w:ascii="Sylfaen" w:hAnsi="Sylfaen"/>
                <w:lang w:val="ka-GE"/>
              </w:rPr>
            </w:pPr>
            <w:r w:rsidRPr="00D36A02">
              <w:rPr>
                <w:rFonts w:ascii="Sylfaen" w:hAnsi="Sylfaen"/>
                <w:lang w:val="ka-GE"/>
              </w:rPr>
              <w:t>52.23.0</w:t>
            </w:r>
          </w:p>
        </w:tc>
        <w:tc>
          <w:tcPr>
            <w:tcW w:w="7512" w:type="dxa"/>
            <w:vAlign w:val="center"/>
          </w:tcPr>
          <w:p w14:paraId="45B8BA5E" w14:textId="77777777" w:rsidR="00A0451D" w:rsidRPr="00D36A02" w:rsidRDefault="00A0451D" w:rsidP="002A7828">
            <w:pPr>
              <w:spacing w:line="259" w:lineRule="auto"/>
              <w:rPr>
                <w:rFonts w:ascii="Sylfaen" w:hAnsi="Sylfaen"/>
                <w:lang w:val="ka-GE"/>
              </w:rPr>
            </w:pPr>
            <w:r w:rsidRPr="00D36A02">
              <w:rPr>
                <w:rFonts w:ascii="Sylfaen" w:hAnsi="Sylfaen"/>
                <w:lang w:val="ka-GE"/>
              </w:rPr>
              <w:t>საჰაერო ტრანსპორტთან დაკავშირებული მომსახურება</w:t>
            </w:r>
          </w:p>
        </w:tc>
      </w:tr>
      <w:tr w:rsidR="00A0451D" w:rsidRPr="00D36A02" w14:paraId="01515253" w14:textId="77777777" w:rsidTr="00A0451D">
        <w:tc>
          <w:tcPr>
            <w:tcW w:w="704" w:type="dxa"/>
            <w:vAlign w:val="center"/>
          </w:tcPr>
          <w:p w14:paraId="5A5E46BC" w14:textId="77777777" w:rsidR="00A0451D" w:rsidRPr="00D36A02" w:rsidRDefault="00A0451D" w:rsidP="002A7828">
            <w:pPr>
              <w:spacing w:line="259" w:lineRule="auto"/>
              <w:jc w:val="center"/>
              <w:rPr>
                <w:rFonts w:ascii="Sylfaen" w:hAnsi="Sylfaen"/>
                <w:lang w:val="ka-GE"/>
              </w:rPr>
            </w:pPr>
            <w:r w:rsidRPr="00D36A02">
              <w:rPr>
                <w:rFonts w:ascii="Sylfaen" w:hAnsi="Sylfaen"/>
                <w:lang w:val="ka-GE"/>
              </w:rPr>
              <w:t>H</w:t>
            </w:r>
          </w:p>
        </w:tc>
        <w:tc>
          <w:tcPr>
            <w:tcW w:w="1134" w:type="dxa"/>
            <w:vAlign w:val="center"/>
          </w:tcPr>
          <w:p w14:paraId="6DCC7A6D" w14:textId="77777777" w:rsidR="00A0451D" w:rsidRPr="00D36A02" w:rsidRDefault="00A0451D" w:rsidP="002A7828">
            <w:pPr>
              <w:spacing w:line="259" w:lineRule="auto"/>
              <w:jc w:val="center"/>
              <w:rPr>
                <w:rFonts w:ascii="Sylfaen" w:hAnsi="Sylfaen"/>
                <w:lang w:val="ka-GE"/>
              </w:rPr>
            </w:pPr>
            <w:r w:rsidRPr="00D36A02">
              <w:rPr>
                <w:rFonts w:ascii="Sylfaen" w:hAnsi="Sylfaen"/>
                <w:lang w:val="ka-GE"/>
              </w:rPr>
              <w:t>52.24.0</w:t>
            </w:r>
          </w:p>
        </w:tc>
        <w:tc>
          <w:tcPr>
            <w:tcW w:w="7512" w:type="dxa"/>
            <w:vAlign w:val="center"/>
          </w:tcPr>
          <w:p w14:paraId="5881A986" w14:textId="77777777" w:rsidR="00A0451D" w:rsidRPr="00D36A02" w:rsidRDefault="00A0451D" w:rsidP="002A7828">
            <w:pPr>
              <w:spacing w:line="259" w:lineRule="auto"/>
              <w:rPr>
                <w:rFonts w:ascii="Sylfaen" w:hAnsi="Sylfaen"/>
                <w:lang w:val="ka-GE"/>
              </w:rPr>
            </w:pPr>
            <w:r w:rsidRPr="00D36A02">
              <w:rPr>
                <w:rFonts w:ascii="Sylfaen" w:hAnsi="Sylfaen"/>
                <w:lang w:val="ka-GE"/>
              </w:rPr>
              <w:t>ტვირთის დატვირთვა-განტვირთვა</w:t>
            </w:r>
          </w:p>
        </w:tc>
      </w:tr>
      <w:tr w:rsidR="00DE6D08" w:rsidRPr="00D36A02" w14:paraId="517EA446" w14:textId="77777777" w:rsidTr="00A0451D">
        <w:tc>
          <w:tcPr>
            <w:tcW w:w="704" w:type="dxa"/>
            <w:vAlign w:val="center"/>
          </w:tcPr>
          <w:p w14:paraId="7B9BB5C3" w14:textId="2FC1B0EF" w:rsidR="00DE6D08" w:rsidRPr="00D36A02" w:rsidRDefault="00DE6D08" w:rsidP="002A7828">
            <w:pPr>
              <w:jc w:val="center"/>
              <w:rPr>
                <w:rFonts w:ascii="Sylfaen" w:hAnsi="Sylfaen"/>
              </w:rPr>
            </w:pPr>
            <w:r w:rsidRPr="00D36A02">
              <w:rPr>
                <w:rFonts w:ascii="Sylfaen" w:hAnsi="Sylfaen"/>
              </w:rPr>
              <w:t>H</w:t>
            </w:r>
          </w:p>
        </w:tc>
        <w:tc>
          <w:tcPr>
            <w:tcW w:w="1134" w:type="dxa"/>
            <w:vAlign w:val="center"/>
          </w:tcPr>
          <w:p w14:paraId="1F98E2D1" w14:textId="4ABD2C75" w:rsidR="00DE6D08" w:rsidRPr="00D36A02" w:rsidRDefault="00DE6D08" w:rsidP="002A7828">
            <w:pPr>
              <w:jc w:val="center"/>
              <w:rPr>
                <w:rFonts w:ascii="Sylfaen" w:hAnsi="Sylfaen"/>
              </w:rPr>
            </w:pPr>
            <w:r w:rsidRPr="00D36A02">
              <w:rPr>
                <w:rFonts w:ascii="Sylfaen" w:hAnsi="Sylfaen"/>
              </w:rPr>
              <w:t>52.29.0</w:t>
            </w:r>
          </w:p>
        </w:tc>
        <w:tc>
          <w:tcPr>
            <w:tcW w:w="7512" w:type="dxa"/>
            <w:vAlign w:val="center"/>
          </w:tcPr>
          <w:p w14:paraId="474231D5" w14:textId="4491FDC8" w:rsidR="00DE6D08" w:rsidRPr="00D36A02" w:rsidRDefault="00DE6D08" w:rsidP="002A7828">
            <w:pPr>
              <w:rPr>
                <w:rFonts w:ascii="Sylfaen" w:hAnsi="Sylfaen"/>
                <w:lang w:val="ka-GE"/>
              </w:rPr>
            </w:pPr>
            <w:r w:rsidRPr="00D36A02">
              <w:rPr>
                <w:rFonts w:ascii="Sylfaen" w:hAnsi="Sylfaen"/>
                <w:lang w:val="ka-GE"/>
              </w:rPr>
              <w:t>ტრანსპორტირების სხვა დამხმარე საქმიანობები</w:t>
            </w:r>
          </w:p>
        </w:tc>
      </w:tr>
    </w:tbl>
    <w:p w14:paraId="547E5786" w14:textId="79BCF5CF" w:rsidR="00ED5AE8" w:rsidRPr="00D36A02" w:rsidRDefault="00ED5AE8">
      <w:pPr>
        <w:rPr>
          <w:rFonts w:ascii="Sylfaen" w:hAnsi="Sylfaen"/>
          <w:lang w:val="ka-GE"/>
        </w:rPr>
      </w:pPr>
    </w:p>
    <w:p w14:paraId="6451CC5F" w14:textId="1C157986" w:rsidR="00E25C24" w:rsidRPr="00D36A02" w:rsidRDefault="00E25C24" w:rsidP="00E25C24">
      <w:pPr>
        <w:jc w:val="both"/>
        <w:rPr>
          <w:rFonts w:ascii="Sylfaen" w:hAnsi="Sylfaen"/>
          <w:lang w:val="ka-GE"/>
        </w:rPr>
      </w:pPr>
      <w:r w:rsidRPr="00D36A02">
        <w:rPr>
          <w:rFonts w:ascii="Sylfaen" w:hAnsi="Sylfaen"/>
          <w:lang w:val="ka-GE"/>
        </w:rPr>
        <w:t>5) ქვემოთ მოცემული ტურისტული ინდუსტრიების შემთხვევაში. აღნიშნულ შემთხვევაში დასაშვებია მხოლოდ იმ სატრანსპორტო საშუალებების შეძენა/რემონტი, რომელთა მართვა/რომლითაც გადაადგილებაც კი დამოუკიდებლად ატარებს ტურისტული ატრაქციის ხასიათს, მათ შორის, საჰაერო ან/და მცურავი საშუალება;</w:t>
      </w:r>
    </w:p>
    <w:tbl>
      <w:tblPr>
        <w:tblStyle w:val="TableGrid"/>
        <w:tblW w:w="9355" w:type="dxa"/>
        <w:tblLook w:val="04A0" w:firstRow="1" w:lastRow="0" w:firstColumn="1" w:lastColumn="0" w:noHBand="0" w:noVBand="1"/>
      </w:tblPr>
      <w:tblGrid>
        <w:gridCol w:w="805"/>
        <w:gridCol w:w="1080"/>
        <w:gridCol w:w="7470"/>
      </w:tblGrid>
      <w:tr w:rsidR="00E25C24" w:rsidRPr="00D36A02" w14:paraId="16DDA48A" w14:textId="05A97C9C" w:rsidTr="00E25C24">
        <w:trPr>
          <w:trHeight w:val="265"/>
        </w:trPr>
        <w:tc>
          <w:tcPr>
            <w:tcW w:w="805" w:type="dxa"/>
          </w:tcPr>
          <w:p w14:paraId="311A4E73" w14:textId="29B02320" w:rsidR="00E25C24" w:rsidRPr="00D36A02" w:rsidRDefault="00E25C24" w:rsidP="00E25C24">
            <w:pPr>
              <w:jc w:val="center"/>
              <w:rPr>
                <w:rFonts w:ascii="Sylfaen" w:hAnsi="Sylfaen"/>
              </w:rPr>
            </w:pPr>
            <w:r w:rsidRPr="00D36A02">
              <w:rPr>
                <w:rFonts w:ascii="Sylfaen" w:hAnsi="Sylfaen"/>
              </w:rPr>
              <w:t>I</w:t>
            </w:r>
          </w:p>
        </w:tc>
        <w:tc>
          <w:tcPr>
            <w:tcW w:w="1080" w:type="dxa"/>
          </w:tcPr>
          <w:p w14:paraId="1F79F420" w14:textId="62E2AF60" w:rsidR="00E25C24" w:rsidRPr="00D36A02" w:rsidRDefault="00E25C24" w:rsidP="00E25C24">
            <w:pPr>
              <w:rPr>
                <w:rFonts w:ascii="Sylfaen" w:hAnsi="Sylfaen"/>
                <w:lang w:val="ka-GE"/>
              </w:rPr>
            </w:pPr>
            <w:r w:rsidRPr="00D36A02">
              <w:rPr>
                <w:rFonts w:ascii="Sylfaen" w:hAnsi="Sylfaen"/>
                <w:lang w:val="ka-GE"/>
              </w:rPr>
              <w:t>55.10.1</w:t>
            </w:r>
          </w:p>
        </w:tc>
        <w:tc>
          <w:tcPr>
            <w:tcW w:w="7470" w:type="dxa"/>
          </w:tcPr>
          <w:p w14:paraId="648C4580" w14:textId="6E4D6809" w:rsidR="00E25C24" w:rsidRPr="00D36A02" w:rsidRDefault="00E25C24" w:rsidP="00E25C24">
            <w:pPr>
              <w:rPr>
                <w:rFonts w:ascii="Sylfaen" w:hAnsi="Sylfaen"/>
                <w:lang w:val="ka-GE"/>
              </w:rPr>
            </w:pPr>
            <w:r w:rsidRPr="00D36A02">
              <w:rPr>
                <w:rFonts w:ascii="Sylfaen" w:hAnsi="Sylfaen"/>
                <w:lang w:val="ka-GE"/>
              </w:rPr>
              <w:t>სასტუმროები და განთავსების მსგავსი საშუალებები რესტორნებით</w:t>
            </w:r>
          </w:p>
        </w:tc>
      </w:tr>
      <w:tr w:rsidR="00E25C24" w:rsidRPr="00D36A02" w14:paraId="308EAC3E" w14:textId="6B480681" w:rsidTr="00E25C24">
        <w:trPr>
          <w:trHeight w:val="265"/>
        </w:trPr>
        <w:tc>
          <w:tcPr>
            <w:tcW w:w="805" w:type="dxa"/>
          </w:tcPr>
          <w:p w14:paraId="4FFE0365" w14:textId="65405A24" w:rsidR="00E25C24" w:rsidRPr="00D36A02" w:rsidRDefault="00E25C24" w:rsidP="00E25C24">
            <w:pPr>
              <w:jc w:val="center"/>
              <w:rPr>
                <w:rFonts w:ascii="Sylfaen" w:hAnsi="Sylfaen"/>
              </w:rPr>
            </w:pPr>
            <w:r w:rsidRPr="00D36A02">
              <w:rPr>
                <w:rFonts w:ascii="Sylfaen" w:hAnsi="Sylfaen"/>
              </w:rPr>
              <w:t>I</w:t>
            </w:r>
          </w:p>
        </w:tc>
        <w:tc>
          <w:tcPr>
            <w:tcW w:w="1080" w:type="dxa"/>
          </w:tcPr>
          <w:p w14:paraId="588E870F" w14:textId="2D6ED8B5" w:rsidR="00E25C24" w:rsidRPr="00D36A02" w:rsidRDefault="00E25C24" w:rsidP="00E25C24">
            <w:pPr>
              <w:rPr>
                <w:rFonts w:ascii="Sylfaen" w:hAnsi="Sylfaen"/>
                <w:lang w:val="ka-GE"/>
              </w:rPr>
            </w:pPr>
            <w:r w:rsidRPr="00D36A02">
              <w:rPr>
                <w:rFonts w:ascii="Sylfaen" w:hAnsi="Sylfaen"/>
                <w:lang w:val="ka-GE"/>
              </w:rPr>
              <w:t>55.10.2</w:t>
            </w:r>
          </w:p>
        </w:tc>
        <w:tc>
          <w:tcPr>
            <w:tcW w:w="7470" w:type="dxa"/>
          </w:tcPr>
          <w:p w14:paraId="3483FED2" w14:textId="2A9D1FFA" w:rsidR="00E25C24" w:rsidRPr="00D36A02" w:rsidRDefault="00E25C24" w:rsidP="00E25C24">
            <w:pPr>
              <w:rPr>
                <w:rFonts w:ascii="Sylfaen" w:hAnsi="Sylfaen"/>
                <w:lang w:val="ka-GE"/>
              </w:rPr>
            </w:pPr>
            <w:r w:rsidRPr="00D36A02">
              <w:rPr>
                <w:rFonts w:ascii="Sylfaen" w:hAnsi="Sylfaen"/>
                <w:lang w:val="ka-GE"/>
              </w:rPr>
              <w:t>სასტუმროები და განთავსების მსგავსი საშუალებები რესტორნების გარეშე</w:t>
            </w:r>
          </w:p>
        </w:tc>
      </w:tr>
      <w:tr w:rsidR="00E25C24" w:rsidRPr="00D36A02" w14:paraId="015EFD4A" w14:textId="23F9B9D7" w:rsidTr="00E25C24">
        <w:trPr>
          <w:trHeight w:val="242"/>
        </w:trPr>
        <w:tc>
          <w:tcPr>
            <w:tcW w:w="805" w:type="dxa"/>
          </w:tcPr>
          <w:p w14:paraId="6C728CF4" w14:textId="70CEF6E9" w:rsidR="00E25C24" w:rsidRPr="00D36A02" w:rsidRDefault="00E25C24" w:rsidP="00E25C24">
            <w:pPr>
              <w:jc w:val="center"/>
              <w:rPr>
                <w:rFonts w:ascii="Sylfaen" w:hAnsi="Sylfaen"/>
              </w:rPr>
            </w:pPr>
            <w:r w:rsidRPr="00D36A02">
              <w:rPr>
                <w:rFonts w:ascii="Sylfaen" w:hAnsi="Sylfaen"/>
              </w:rPr>
              <w:t>I</w:t>
            </w:r>
          </w:p>
        </w:tc>
        <w:tc>
          <w:tcPr>
            <w:tcW w:w="1080" w:type="dxa"/>
          </w:tcPr>
          <w:p w14:paraId="2B01D858" w14:textId="107C61A3" w:rsidR="00E25C24" w:rsidRPr="00D36A02" w:rsidRDefault="00E25C24" w:rsidP="00E25C24">
            <w:pPr>
              <w:rPr>
                <w:rFonts w:ascii="Sylfaen" w:hAnsi="Sylfaen"/>
                <w:lang w:val="ka-GE"/>
              </w:rPr>
            </w:pPr>
            <w:r w:rsidRPr="00D36A02">
              <w:rPr>
                <w:rFonts w:ascii="Sylfaen" w:hAnsi="Sylfaen"/>
                <w:lang w:val="ka-GE"/>
              </w:rPr>
              <w:t>55.20.0</w:t>
            </w:r>
          </w:p>
        </w:tc>
        <w:tc>
          <w:tcPr>
            <w:tcW w:w="7470" w:type="dxa"/>
          </w:tcPr>
          <w:p w14:paraId="3B8EDD8B" w14:textId="68E0734A" w:rsidR="00E25C24" w:rsidRPr="00D36A02" w:rsidRDefault="00E25C24" w:rsidP="00E25C24">
            <w:pPr>
              <w:rPr>
                <w:rFonts w:ascii="Sylfaen" w:hAnsi="Sylfaen"/>
                <w:lang w:val="ka-GE"/>
              </w:rPr>
            </w:pPr>
            <w:r w:rsidRPr="00D36A02">
              <w:rPr>
                <w:rFonts w:ascii="Sylfaen" w:hAnsi="Sylfaen"/>
                <w:lang w:val="ka-GE"/>
              </w:rPr>
              <w:t>დასასვენებელი და სხვა მოკლევადიანი განთავსების საშუალებები</w:t>
            </w:r>
          </w:p>
        </w:tc>
      </w:tr>
      <w:tr w:rsidR="00E25C24" w:rsidRPr="00D36A02" w14:paraId="53047BAE" w14:textId="4A70951E" w:rsidTr="00E25C24">
        <w:trPr>
          <w:trHeight w:val="253"/>
        </w:trPr>
        <w:tc>
          <w:tcPr>
            <w:tcW w:w="805" w:type="dxa"/>
          </w:tcPr>
          <w:p w14:paraId="3427C0C6" w14:textId="4EE32EB2" w:rsidR="00E25C24" w:rsidRPr="00D36A02" w:rsidRDefault="00E25C24" w:rsidP="00E25C24">
            <w:pPr>
              <w:jc w:val="center"/>
              <w:rPr>
                <w:rFonts w:ascii="Sylfaen" w:hAnsi="Sylfaen"/>
              </w:rPr>
            </w:pPr>
            <w:r w:rsidRPr="00D36A02">
              <w:rPr>
                <w:rFonts w:ascii="Sylfaen" w:hAnsi="Sylfaen"/>
              </w:rPr>
              <w:t>I</w:t>
            </w:r>
          </w:p>
        </w:tc>
        <w:tc>
          <w:tcPr>
            <w:tcW w:w="1080" w:type="dxa"/>
          </w:tcPr>
          <w:p w14:paraId="19633990" w14:textId="0EBA6171" w:rsidR="00E25C24" w:rsidRPr="00D36A02" w:rsidRDefault="00E25C24" w:rsidP="00E25C24">
            <w:pPr>
              <w:rPr>
                <w:rFonts w:ascii="Sylfaen" w:hAnsi="Sylfaen"/>
                <w:lang w:val="ka-GE"/>
              </w:rPr>
            </w:pPr>
            <w:r w:rsidRPr="00D36A02">
              <w:rPr>
                <w:rFonts w:ascii="Sylfaen" w:hAnsi="Sylfaen"/>
                <w:lang w:val="ka-GE"/>
              </w:rPr>
              <w:t>56.10.0</w:t>
            </w:r>
          </w:p>
        </w:tc>
        <w:tc>
          <w:tcPr>
            <w:tcW w:w="7470" w:type="dxa"/>
          </w:tcPr>
          <w:p w14:paraId="1641E71F" w14:textId="05B3C3F0" w:rsidR="00E25C24" w:rsidRPr="00D36A02" w:rsidRDefault="00E25C24" w:rsidP="00E25C24">
            <w:pPr>
              <w:rPr>
                <w:rFonts w:ascii="Sylfaen" w:hAnsi="Sylfaen"/>
                <w:lang w:val="ka-GE"/>
              </w:rPr>
            </w:pPr>
            <w:r w:rsidRPr="00D36A02">
              <w:rPr>
                <w:rFonts w:ascii="Sylfaen" w:hAnsi="Sylfaen"/>
                <w:lang w:val="ka-GE"/>
              </w:rPr>
              <w:t>რესტორნები და საკვებით მობილური მომსახურების საქმიანობები</w:t>
            </w:r>
          </w:p>
        </w:tc>
      </w:tr>
      <w:tr w:rsidR="00E25C24" w:rsidRPr="00D36A02" w14:paraId="5C33ED4E" w14:textId="3FACB0AB" w:rsidTr="00E25C24">
        <w:trPr>
          <w:trHeight w:val="265"/>
        </w:trPr>
        <w:tc>
          <w:tcPr>
            <w:tcW w:w="805" w:type="dxa"/>
          </w:tcPr>
          <w:p w14:paraId="6E09B6B9" w14:textId="7C834BC9" w:rsidR="00E25C24" w:rsidRPr="00D36A02" w:rsidRDefault="00E25C24" w:rsidP="00E25C24">
            <w:pPr>
              <w:jc w:val="center"/>
              <w:rPr>
                <w:rFonts w:ascii="Sylfaen" w:hAnsi="Sylfaen"/>
              </w:rPr>
            </w:pPr>
            <w:r w:rsidRPr="00D36A02">
              <w:rPr>
                <w:rFonts w:ascii="Sylfaen" w:hAnsi="Sylfaen"/>
              </w:rPr>
              <w:t>I</w:t>
            </w:r>
          </w:p>
        </w:tc>
        <w:tc>
          <w:tcPr>
            <w:tcW w:w="1080" w:type="dxa"/>
          </w:tcPr>
          <w:p w14:paraId="4841BF39" w14:textId="1F38DA82" w:rsidR="00E25C24" w:rsidRPr="00D36A02" w:rsidRDefault="00E25C24" w:rsidP="00E25C24">
            <w:pPr>
              <w:rPr>
                <w:rFonts w:ascii="Sylfaen" w:hAnsi="Sylfaen"/>
                <w:lang w:val="ka-GE"/>
              </w:rPr>
            </w:pPr>
            <w:r w:rsidRPr="00D36A02">
              <w:rPr>
                <w:rFonts w:ascii="Sylfaen" w:hAnsi="Sylfaen"/>
                <w:lang w:val="ka-GE"/>
              </w:rPr>
              <w:t>56.29.0</w:t>
            </w:r>
          </w:p>
        </w:tc>
        <w:tc>
          <w:tcPr>
            <w:tcW w:w="7470" w:type="dxa"/>
          </w:tcPr>
          <w:p w14:paraId="01C34DD0" w14:textId="5C7090CC" w:rsidR="00E25C24" w:rsidRPr="00D36A02" w:rsidRDefault="00E25C24" w:rsidP="00E25C24">
            <w:pPr>
              <w:rPr>
                <w:rFonts w:ascii="Sylfaen" w:hAnsi="Sylfaen"/>
                <w:lang w:val="ka-GE"/>
              </w:rPr>
            </w:pPr>
            <w:r w:rsidRPr="00D36A02">
              <w:rPr>
                <w:rFonts w:ascii="Sylfaen" w:hAnsi="Sylfaen"/>
                <w:lang w:val="ka-GE"/>
              </w:rPr>
              <w:t>საკვებით მომსახურების სხვა საქმიანობები</w:t>
            </w:r>
          </w:p>
        </w:tc>
      </w:tr>
      <w:tr w:rsidR="00E25C24" w:rsidRPr="00D36A02" w14:paraId="5D7EA423" w14:textId="797441E0" w:rsidTr="00E25C24">
        <w:trPr>
          <w:trHeight w:val="265"/>
        </w:trPr>
        <w:tc>
          <w:tcPr>
            <w:tcW w:w="805" w:type="dxa"/>
          </w:tcPr>
          <w:p w14:paraId="4F23B7C8" w14:textId="53FF5827" w:rsidR="00E25C24" w:rsidRPr="00D36A02" w:rsidRDefault="00E25C24" w:rsidP="00E25C24">
            <w:pPr>
              <w:jc w:val="center"/>
              <w:rPr>
                <w:rFonts w:ascii="Sylfaen" w:hAnsi="Sylfaen"/>
              </w:rPr>
            </w:pPr>
            <w:r w:rsidRPr="00D36A02">
              <w:rPr>
                <w:rFonts w:ascii="Sylfaen" w:hAnsi="Sylfaen"/>
              </w:rPr>
              <w:t>I</w:t>
            </w:r>
          </w:p>
        </w:tc>
        <w:tc>
          <w:tcPr>
            <w:tcW w:w="1080" w:type="dxa"/>
          </w:tcPr>
          <w:p w14:paraId="65B02403" w14:textId="63237861" w:rsidR="00E25C24" w:rsidRPr="00D36A02" w:rsidRDefault="00E25C24" w:rsidP="00E25C24">
            <w:pPr>
              <w:rPr>
                <w:rFonts w:ascii="Sylfaen" w:hAnsi="Sylfaen"/>
                <w:lang w:val="ka-GE"/>
              </w:rPr>
            </w:pPr>
            <w:r w:rsidRPr="00D36A02">
              <w:rPr>
                <w:rFonts w:ascii="Sylfaen" w:hAnsi="Sylfaen"/>
                <w:lang w:val="ka-GE"/>
              </w:rPr>
              <w:t>56.30.0</w:t>
            </w:r>
          </w:p>
        </w:tc>
        <w:tc>
          <w:tcPr>
            <w:tcW w:w="7470" w:type="dxa"/>
          </w:tcPr>
          <w:p w14:paraId="03513D6A" w14:textId="656FCE4E" w:rsidR="00E25C24" w:rsidRPr="00D36A02" w:rsidRDefault="00E25C24" w:rsidP="00E25C24">
            <w:pPr>
              <w:rPr>
                <w:rFonts w:ascii="Sylfaen" w:hAnsi="Sylfaen"/>
                <w:lang w:val="ka-GE"/>
              </w:rPr>
            </w:pPr>
            <w:r w:rsidRPr="00D36A02">
              <w:rPr>
                <w:rFonts w:ascii="Sylfaen" w:hAnsi="Sylfaen"/>
                <w:lang w:val="ka-GE"/>
              </w:rPr>
              <w:t>სასმელებით მომსახურების საქმიანობები</w:t>
            </w:r>
          </w:p>
        </w:tc>
      </w:tr>
      <w:tr w:rsidR="00E25C24" w:rsidRPr="00D36A02" w14:paraId="1E923621" w14:textId="2D6E7269" w:rsidTr="00E25C24">
        <w:trPr>
          <w:trHeight w:val="265"/>
        </w:trPr>
        <w:tc>
          <w:tcPr>
            <w:tcW w:w="805" w:type="dxa"/>
          </w:tcPr>
          <w:p w14:paraId="348DF21E" w14:textId="5B2A451D" w:rsidR="00E25C24" w:rsidRPr="00D36A02" w:rsidRDefault="00E25C24" w:rsidP="00E25C24">
            <w:pPr>
              <w:jc w:val="center"/>
              <w:rPr>
                <w:rFonts w:ascii="Sylfaen" w:hAnsi="Sylfaen"/>
              </w:rPr>
            </w:pPr>
            <w:r w:rsidRPr="00D36A02">
              <w:rPr>
                <w:rFonts w:ascii="Sylfaen" w:hAnsi="Sylfaen"/>
              </w:rPr>
              <w:t>R</w:t>
            </w:r>
          </w:p>
        </w:tc>
        <w:tc>
          <w:tcPr>
            <w:tcW w:w="1080" w:type="dxa"/>
          </w:tcPr>
          <w:p w14:paraId="08111D3B" w14:textId="143713A8" w:rsidR="00E25C24" w:rsidRPr="00D36A02" w:rsidRDefault="00E25C24" w:rsidP="00E25C24">
            <w:pPr>
              <w:rPr>
                <w:rFonts w:ascii="Sylfaen" w:hAnsi="Sylfaen"/>
                <w:lang w:val="ka-GE"/>
              </w:rPr>
            </w:pPr>
            <w:r w:rsidRPr="00D36A02">
              <w:rPr>
                <w:rFonts w:ascii="Sylfaen" w:hAnsi="Sylfaen"/>
                <w:lang w:val="ka-GE"/>
              </w:rPr>
              <w:t>93.21.0</w:t>
            </w:r>
          </w:p>
        </w:tc>
        <w:tc>
          <w:tcPr>
            <w:tcW w:w="7470" w:type="dxa"/>
          </w:tcPr>
          <w:p w14:paraId="37EA0034" w14:textId="7B01DCE0" w:rsidR="00E25C24" w:rsidRPr="00D36A02" w:rsidRDefault="00E25C24" w:rsidP="00E25C24">
            <w:pPr>
              <w:rPr>
                <w:rFonts w:ascii="Sylfaen" w:hAnsi="Sylfaen"/>
                <w:lang w:val="ka-GE"/>
              </w:rPr>
            </w:pPr>
            <w:r w:rsidRPr="00D36A02">
              <w:rPr>
                <w:rFonts w:ascii="Sylfaen" w:hAnsi="Sylfaen"/>
                <w:lang w:val="ka-GE"/>
              </w:rPr>
              <w:t>გასართობი პარკების და თემატური პარკების საქმიანობები</w:t>
            </w:r>
          </w:p>
        </w:tc>
      </w:tr>
      <w:tr w:rsidR="00E25C24" w:rsidRPr="00D36A02" w14:paraId="7FD80A1A" w14:textId="75D680C0" w:rsidTr="00E25C24">
        <w:trPr>
          <w:trHeight w:val="265"/>
        </w:trPr>
        <w:tc>
          <w:tcPr>
            <w:tcW w:w="805" w:type="dxa"/>
          </w:tcPr>
          <w:p w14:paraId="6A336062" w14:textId="7FAA489E" w:rsidR="00E25C24" w:rsidRPr="00D36A02" w:rsidRDefault="00E25C24" w:rsidP="00E25C24">
            <w:pPr>
              <w:jc w:val="center"/>
              <w:rPr>
                <w:rFonts w:ascii="Sylfaen" w:hAnsi="Sylfaen"/>
              </w:rPr>
            </w:pPr>
            <w:r w:rsidRPr="00D36A02">
              <w:rPr>
                <w:rFonts w:ascii="Sylfaen" w:hAnsi="Sylfaen"/>
              </w:rPr>
              <w:t>R</w:t>
            </w:r>
          </w:p>
        </w:tc>
        <w:tc>
          <w:tcPr>
            <w:tcW w:w="1080" w:type="dxa"/>
          </w:tcPr>
          <w:p w14:paraId="3DF3335A" w14:textId="1FF9BF31" w:rsidR="00E25C24" w:rsidRPr="00D36A02" w:rsidRDefault="00E25C24" w:rsidP="00E25C24">
            <w:pPr>
              <w:rPr>
                <w:rFonts w:ascii="Sylfaen" w:hAnsi="Sylfaen"/>
                <w:lang w:val="ka-GE"/>
              </w:rPr>
            </w:pPr>
            <w:r w:rsidRPr="00D36A02">
              <w:rPr>
                <w:rFonts w:ascii="Sylfaen" w:hAnsi="Sylfaen"/>
                <w:lang w:val="ka-GE"/>
              </w:rPr>
              <w:t>93.29.0</w:t>
            </w:r>
          </w:p>
        </w:tc>
        <w:tc>
          <w:tcPr>
            <w:tcW w:w="7470" w:type="dxa"/>
          </w:tcPr>
          <w:p w14:paraId="27F18BAE" w14:textId="11838107" w:rsidR="00E25C24" w:rsidRPr="00D36A02" w:rsidRDefault="00E25C24" w:rsidP="00E25C24">
            <w:pPr>
              <w:rPr>
                <w:rFonts w:ascii="Sylfaen" w:hAnsi="Sylfaen"/>
                <w:lang w:val="ka-GE"/>
              </w:rPr>
            </w:pPr>
            <w:r w:rsidRPr="00D36A02">
              <w:rPr>
                <w:rFonts w:ascii="Sylfaen" w:hAnsi="Sylfaen"/>
                <w:lang w:val="ka-GE"/>
              </w:rPr>
              <w:t>გართობის და დასვენების სხვა საქმიანობები</w:t>
            </w:r>
          </w:p>
        </w:tc>
      </w:tr>
      <w:tr w:rsidR="00E25C24" w:rsidRPr="00D36A02" w14:paraId="10756FCE" w14:textId="0EF979C2" w:rsidTr="00E25C24">
        <w:trPr>
          <w:trHeight w:val="240"/>
        </w:trPr>
        <w:tc>
          <w:tcPr>
            <w:tcW w:w="805" w:type="dxa"/>
            <w:noWrap/>
            <w:hideMark/>
          </w:tcPr>
          <w:p w14:paraId="1E087332" w14:textId="77777777" w:rsidR="00E25C24" w:rsidRPr="00D36A02" w:rsidRDefault="00E25C24" w:rsidP="00E25C24">
            <w:pPr>
              <w:rPr>
                <w:rFonts w:ascii="Sylfaen" w:hAnsi="Sylfaen"/>
                <w:lang w:val="ka-GE"/>
              </w:rPr>
            </w:pPr>
            <w:r w:rsidRPr="00D36A02">
              <w:rPr>
                <w:rFonts w:ascii="Sylfaen" w:hAnsi="Sylfaen"/>
                <w:lang w:val="ka-GE"/>
              </w:rPr>
              <w:t> </w:t>
            </w:r>
          </w:p>
        </w:tc>
        <w:tc>
          <w:tcPr>
            <w:tcW w:w="1080" w:type="dxa"/>
          </w:tcPr>
          <w:p w14:paraId="1BD6CE03" w14:textId="77777777" w:rsidR="00E25C24" w:rsidRPr="00D36A02" w:rsidRDefault="00E25C24" w:rsidP="00E25C24">
            <w:pPr>
              <w:rPr>
                <w:rFonts w:ascii="Sylfaen" w:hAnsi="Sylfaen"/>
                <w:lang w:val="ka-GE"/>
              </w:rPr>
            </w:pPr>
          </w:p>
        </w:tc>
        <w:tc>
          <w:tcPr>
            <w:tcW w:w="7470" w:type="dxa"/>
          </w:tcPr>
          <w:p w14:paraId="2283D8F8" w14:textId="7CF9A28F" w:rsidR="00E25C24" w:rsidRPr="00D36A02" w:rsidRDefault="00E25C24" w:rsidP="00E25C24">
            <w:pPr>
              <w:rPr>
                <w:rFonts w:ascii="Sylfaen" w:hAnsi="Sylfaen"/>
                <w:lang w:val="ka-GE"/>
              </w:rPr>
            </w:pPr>
            <w:r w:rsidRPr="00D36A02">
              <w:rPr>
                <w:rFonts w:ascii="Sylfaen" w:hAnsi="Sylfaen"/>
                <w:lang w:val="ka-GE"/>
              </w:rPr>
              <w:t>აგრო ტურისტული ობიექტი</w:t>
            </w:r>
          </w:p>
        </w:tc>
      </w:tr>
    </w:tbl>
    <w:p w14:paraId="044EDE46" w14:textId="77777777" w:rsidR="00E25C24" w:rsidRPr="00D36A02" w:rsidRDefault="00E25C24" w:rsidP="00E25C24">
      <w:pPr>
        <w:jc w:val="both"/>
        <w:rPr>
          <w:rFonts w:ascii="Sylfaen" w:hAnsi="Sylfaen"/>
          <w:lang w:val="ka-GE"/>
        </w:rPr>
      </w:pPr>
    </w:p>
    <w:p w14:paraId="612F07F9" w14:textId="77777777" w:rsidR="00E25C24" w:rsidRPr="00D36A02" w:rsidRDefault="00E25C24">
      <w:pPr>
        <w:rPr>
          <w:rFonts w:ascii="Sylfaen" w:hAnsi="Sylfaen"/>
          <w:lang w:val="ka-GE"/>
        </w:rPr>
      </w:pPr>
    </w:p>
    <w:sectPr w:rsidR="00E25C24" w:rsidRPr="00D36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89"/>
    <w:rsid w:val="00087F7A"/>
    <w:rsid w:val="002070A9"/>
    <w:rsid w:val="002A0483"/>
    <w:rsid w:val="002A7828"/>
    <w:rsid w:val="002E43F4"/>
    <w:rsid w:val="003A1EF9"/>
    <w:rsid w:val="003A3DAC"/>
    <w:rsid w:val="003E6BD1"/>
    <w:rsid w:val="004E4D19"/>
    <w:rsid w:val="004F71A6"/>
    <w:rsid w:val="00532759"/>
    <w:rsid w:val="005C3332"/>
    <w:rsid w:val="005D496C"/>
    <w:rsid w:val="006041CE"/>
    <w:rsid w:val="00630424"/>
    <w:rsid w:val="006A768F"/>
    <w:rsid w:val="006B0EAD"/>
    <w:rsid w:val="0079636F"/>
    <w:rsid w:val="008D5BA2"/>
    <w:rsid w:val="008F6661"/>
    <w:rsid w:val="009173A3"/>
    <w:rsid w:val="00992D1D"/>
    <w:rsid w:val="009B6B1A"/>
    <w:rsid w:val="009C6F43"/>
    <w:rsid w:val="00A0451D"/>
    <w:rsid w:val="00A322D7"/>
    <w:rsid w:val="00A406AA"/>
    <w:rsid w:val="00BF4E69"/>
    <w:rsid w:val="00D36A02"/>
    <w:rsid w:val="00DB4EFC"/>
    <w:rsid w:val="00DE5843"/>
    <w:rsid w:val="00DE6D08"/>
    <w:rsid w:val="00E14566"/>
    <w:rsid w:val="00E25C24"/>
    <w:rsid w:val="00E43289"/>
    <w:rsid w:val="00E56987"/>
    <w:rsid w:val="00E75A0A"/>
    <w:rsid w:val="00ED5AE8"/>
    <w:rsid w:val="00F05289"/>
    <w:rsid w:val="00F05AF0"/>
    <w:rsid w:val="00FB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352D"/>
  <w15:chartTrackingRefBased/>
  <w15:docId w15:val="{61A20407-91C2-452D-AC49-16DBD47D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E5843"/>
    <w:pPr>
      <w:spacing w:line="240" w:lineRule="auto"/>
    </w:pPr>
    <w:rPr>
      <w:sz w:val="20"/>
      <w:szCs w:val="20"/>
    </w:rPr>
  </w:style>
  <w:style w:type="character" w:customStyle="1" w:styleId="CommentTextChar">
    <w:name w:val="Comment Text Char"/>
    <w:basedOn w:val="DefaultParagraphFont"/>
    <w:link w:val="CommentText"/>
    <w:uiPriority w:val="99"/>
    <w:semiHidden/>
    <w:rsid w:val="00DE5843"/>
    <w:rPr>
      <w:sz w:val="20"/>
      <w:szCs w:val="20"/>
    </w:rPr>
  </w:style>
  <w:style w:type="paragraph" w:styleId="Header">
    <w:name w:val="header"/>
    <w:basedOn w:val="Normal"/>
    <w:link w:val="HeaderChar"/>
    <w:uiPriority w:val="99"/>
    <w:unhideWhenUsed/>
    <w:rsid w:val="00DE5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843"/>
  </w:style>
  <w:style w:type="paragraph" w:styleId="Footer">
    <w:name w:val="footer"/>
    <w:basedOn w:val="Normal"/>
    <w:link w:val="FooterChar"/>
    <w:uiPriority w:val="99"/>
    <w:unhideWhenUsed/>
    <w:rsid w:val="00DE5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843"/>
  </w:style>
  <w:style w:type="character" w:styleId="CommentReference">
    <w:name w:val="annotation reference"/>
    <w:basedOn w:val="DefaultParagraphFont"/>
    <w:uiPriority w:val="99"/>
    <w:semiHidden/>
    <w:unhideWhenUsed/>
    <w:rsid w:val="00DE5843"/>
    <w:rPr>
      <w:sz w:val="16"/>
      <w:szCs w:val="16"/>
    </w:rPr>
  </w:style>
  <w:style w:type="paragraph" w:styleId="CommentSubject">
    <w:name w:val="annotation subject"/>
    <w:basedOn w:val="CommentText"/>
    <w:next w:val="CommentText"/>
    <w:link w:val="CommentSubjectChar"/>
    <w:uiPriority w:val="99"/>
    <w:semiHidden/>
    <w:unhideWhenUsed/>
    <w:rsid w:val="00DE5843"/>
    <w:rPr>
      <w:b/>
      <w:bCs/>
    </w:rPr>
  </w:style>
  <w:style w:type="character" w:customStyle="1" w:styleId="CommentSubjectChar">
    <w:name w:val="Comment Subject Char"/>
    <w:basedOn w:val="CommentTextChar"/>
    <w:link w:val="CommentSubject"/>
    <w:uiPriority w:val="99"/>
    <w:semiHidden/>
    <w:rsid w:val="00DE5843"/>
    <w:rPr>
      <w:b/>
      <w:bCs/>
      <w:sz w:val="20"/>
      <w:szCs w:val="20"/>
    </w:rPr>
  </w:style>
  <w:style w:type="paragraph" w:styleId="BalloonText">
    <w:name w:val="Balloon Text"/>
    <w:basedOn w:val="Normal"/>
    <w:link w:val="BalloonTextChar"/>
    <w:uiPriority w:val="99"/>
    <w:semiHidden/>
    <w:unhideWhenUsed/>
    <w:rsid w:val="00DE5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843"/>
    <w:rPr>
      <w:rFonts w:ascii="Segoe UI" w:hAnsi="Segoe UI" w:cs="Segoe UI"/>
      <w:sz w:val="18"/>
      <w:szCs w:val="18"/>
    </w:rPr>
  </w:style>
  <w:style w:type="table" w:styleId="TableGrid">
    <w:name w:val="Table Grid"/>
    <w:basedOn w:val="TableNormal"/>
    <w:uiPriority w:val="39"/>
    <w:rsid w:val="00DE5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2681">
      <w:bodyDiv w:val="1"/>
      <w:marLeft w:val="0"/>
      <w:marRight w:val="0"/>
      <w:marTop w:val="0"/>
      <w:marBottom w:val="0"/>
      <w:divBdr>
        <w:top w:val="none" w:sz="0" w:space="0" w:color="auto"/>
        <w:left w:val="none" w:sz="0" w:space="0" w:color="auto"/>
        <w:bottom w:val="none" w:sz="0" w:space="0" w:color="auto"/>
        <w:right w:val="none" w:sz="0" w:space="0" w:color="auto"/>
      </w:divBdr>
    </w:div>
    <w:div w:id="782187283">
      <w:bodyDiv w:val="1"/>
      <w:marLeft w:val="0"/>
      <w:marRight w:val="0"/>
      <w:marTop w:val="0"/>
      <w:marBottom w:val="0"/>
      <w:divBdr>
        <w:top w:val="none" w:sz="0" w:space="0" w:color="auto"/>
        <w:left w:val="none" w:sz="0" w:space="0" w:color="auto"/>
        <w:bottom w:val="none" w:sz="0" w:space="0" w:color="auto"/>
        <w:right w:val="none" w:sz="0" w:space="0" w:color="auto"/>
      </w:divBdr>
    </w:div>
    <w:div w:id="1555312650">
      <w:bodyDiv w:val="1"/>
      <w:marLeft w:val="0"/>
      <w:marRight w:val="0"/>
      <w:marTop w:val="0"/>
      <w:marBottom w:val="0"/>
      <w:divBdr>
        <w:top w:val="none" w:sz="0" w:space="0" w:color="auto"/>
        <w:left w:val="none" w:sz="0" w:space="0" w:color="auto"/>
        <w:bottom w:val="none" w:sz="0" w:space="0" w:color="auto"/>
        <w:right w:val="none" w:sz="0" w:space="0" w:color="auto"/>
      </w:divBdr>
    </w:div>
    <w:div w:id="185029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Guntsadze</dc:creator>
  <cp:keywords/>
  <dc:description/>
  <cp:lastModifiedBy>Nino Kvaratskhelia</cp:lastModifiedBy>
  <cp:revision>3</cp:revision>
  <cp:lastPrinted>2025-02-04T12:04:00Z</cp:lastPrinted>
  <dcterms:created xsi:type="dcterms:W3CDTF">2025-08-12T11:36:00Z</dcterms:created>
  <dcterms:modified xsi:type="dcterms:W3CDTF">2025-08-15T07:28:00Z</dcterms:modified>
</cp:coreProperties>
</file>