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81B2" w14:textId="1E44A426" w:rsidR="00371B66" w:rsidRDefault="00371B66" w:rsidP="00437D8B">
      <w:pPr>
        <w:rPr>
          <w:b/>
          <w:lang w:val="ka-GE"/>
        </w:rPr>
      </w:pPr>
      <w:r>
        <w:rPr>
          <w:b/>
          <w:lang w:val="ka-GE"/>
        </w:rPr>
        <w:t xml:space="preserve">13 დეკემბერი </w:t>
      </w:r>
      <w:bookmarkStart w:id="0" w:name="_GoBack"/>
      <w:bookmarkEnd w:id="0"/>
    </w:p>
    <w:p w14:paraId="37B7FA37" w14:textId="1DBD887A" w:rsidR="005C212D" w:rsidRPr="00371B66" w:rsidRDefault="00371B66" w:rsidP="00437D8B">
      <w:pPr>
        <w:rPr>
          <w:b/>
          <w:lang w:val="ka-GE"/>
        </w:rPr>
      </w:pPr>
      <w:r>
        <w:rPr>
          <w:b/>
          <w:lang w:val="ka-GE"/>
        </w:rPr>
        <w:t>ს-89</w:t>
      </w:r>
    </w:p>
    <w:p w14:paraId="7D86AC09" w14:textId="267B80BA" w:rsidR="005C212D" w:rsidRPr="008A2449" w:rsidRDefault="009A2E6E" w:rsidP="009A2E6E">
      <w:pPr>
        <w:jc w:val="right"/>
        <w:rPr>
          <w:b/>
          <w:lang w:val="ka-GE"/>
        </w:rPr>
      </w:pPr>
      <w:r>
        <w:rPr>
          <w:b/>
          <w:lang w:val="ka-GE"/>
        </w:rPr>
        <w:t>დანართი</w:t>
      </w:r>
    </w:p>
    <w:p w14:paraId="2CCA7398" w14:textId="3D7CDC1E" w:rsidR="008A2449" w:rsidRPr="008A2449" w:rsidRDefault="008A2449" w:rsidP="008A2449">
      <w:pPr>
        <w:jc w:val="center"/>
        <w:rPr>
          <w:b/>
          <w:lang w:val="ka-GE"/>
        </w:rPr>
      </w:pPr>
      <w:r w:rsidRPr="008A2449">
        <w:rPr>
          <w:b/>
          <w:lang w:val="ka-GE"/>
        </w:rPr>
        <w:t xml:space="preserve">„მიკრო, მცირე და საშუალო საწარმოების მხარდაჭერის სახელმწიფო პროგრამის“ ფარგლებში ჩამოყალიბებული </w:t>
      </w:r>
      <w:r w:rsidR="00DD02D0">
        <w:rPr>
          <w:b/>
          <w:lang w:val="ka-GE"/>
        </w:rPr>
        <w:t>საჯარო სამართლის იურიდიული პირის</w:t>
      </w:r>
      <w:r w:rsidR="001F1A77">
        <w:rPr>
          <w:b/>
          <w:lang w:val="ka-GE"/>
        </w:rPr>
        <w:t xml:space="preserve"> „აწარმოე საქართველოში“</w:t>
      </w:r>
      <w:r w:rsidRPr="008A2449">
        <w:rPr>
          <w:b/>
          <w:lang w:val="ka-GE"/>
        </w:rPr>
        <w:t xml:space="preserve"> საკონსულტაციო ცენტრების მიერ გასაწევი მომსახურებების პირობები</w:t>
      </w:r>
      <w:r w:rsidR="009A2E6E">
        <w:rPr>
          <w:b/>
          <w:lang w:val="ka-GE"/>
        </w:rPr>
        <w:t xml:space="preserve"> </w:t>
      </w:r>
    </w:p>
    <w:p w14:paraId="478E7F11" w14:textId="39668740" w:rsidR="005C212D" w:rsidRPr="008A2449" w:rsidRDefault="005C212D" w:rsidP="008A2449">
      <w:pPr>
        <w:jc w:val="both"/>
        <w:rPr>
          <w:lang w:val="ka-GE"/>
        </w:rPr>
      </w:pPr>
      <w:r w:rsidRPr="008A2449">
        <w:rPr>
          <w:lang w:val="ka-GE"/>
        </w:rPr>
        <w:t xml:space="preserve">წინამდებარე დოკუმენტის მიზანია დაადგინოს საქართველოს მთავრობის 2022 წლის 14 დეკემბრის N567 დადგენილებით </w:t>
      </w:r>
      <w:r w:rsidR="0006767E">
        <w:rPr>
          <w:lang w:val="ka-GE"/>
        </w:rPr>
        <w:t xml:space="preserve">(შემდგომში დადგენილება) </w:t>
      </w:r>
      <w:r w:rsidRPr="008A2449">
        <w:rPr>
          <w:lang w:val="ka-GE"/>
        </w:rPr>
        <w:t>დამტკიცებული „მიკრო, მცირე და საშუალო საწარმოების მხარდაჭერის სახელმწიფო პროგრამის“ ფარგლებში საჯარო სამართლის იურიდიული პირის - აწარმოე საქართველოში (შემდგომში - სააგენტო) საკონსულტაციო ცენტრების მიერ მეწარმე სუბიექტისათვის გასაწევი მომსახურების სახეები, ამ მომსახურებების გაწევის წესი, მეწარმე სუბიექტის სავალდებულო კრიტერიუმები და პროგრამაში მონაწილეობის ეტაპები, ვადები და პირობები.</w:t>
      </w:r>
    </w:p>
    <w:p w14:paraId="40AD8532" w14:textId="77777777" w:rsidR="005C212D" w:rsidRPr="008A2449" w:rsidRDefault="005C212D" w:rsidP="005C212D">
      <w:pPr>
        <w:rPr>
          <w:lang w:val="ka-GE"/>
        </w:rPr>
      </w:pPr>
      <w:r w:rsidRPr="008A2449">
        <w:rPr>
          <w:lang w:val="ka-GE"/>
        </w:rPr>
        <w:t>პროგრამით განსაზღვრული მომსახურებები მოიცავს სამ მიმართულებას:</w:t>
      </w:r>
    </w:p>
    <w:p w14:paraId="5BDBA22F" w14:textId="77777777" w:rsidR="005C212D" w:rsidRPr="008A2449" w:rsidRDefault="005C212D" w:rsidP="005C212D">
      <w:pPr>
        <w:numPr>
          <w:ilvl w:val="0"/>
          <w:numId w:val="3"/>
        </w:numPr>
        <w:spacing w:after="0"/>
        <w:rPr>
          <w:lang w:val="ka-GE"/>
        </w:rPr>
      </w:pPr>
      <w:r w:rsidRPr="008A2449">
        <w:rPr>
          <w:lang w:val="ka-GE"/>
        </w:rPr>
        <w:t>საკონსულტაციო მომსახურება</w:t>
      </w:r>
    </w:p>
    <w:p w14:paraId="13E9C8CF" w14:textId="77777777" w:rsidR="005C212D" w:rsidRPr="008A2449" w:rsidRDefault="005C212D" w:rsidP="005C212D">
      <w:pPr>
        <w:numPr>
          <w:ilvl w:val="0"/>
          <w:numId w:val="3"/>
        </w:numPr>
        <w:spacing w:after="0"/>
        <w:rPr>
          <w:lang w:val="ka-GE"/>
        </w:rPr>
      </w:pPr>
      <w:r w:rsidRPr="008A2449">
        <w:rPr>
          <w:lang w:val="ka-GE"/>
        </w:rPr>
        <w:t>ბიზნეს უნარების გაუმჯობესება</w:t>
      </w:r>
    </w:p>
    <w:p w14:paraId="0AC9579D" w14:textId="3209CCE4" w:rsidR="005C212D" w:rsidRPr="008A2449" w:rsidRDefault="005C212D" w:rsidP="005C212D">
      <w:pPr>
        <w:numPr>
          <w:ilvl w:val="0"/>
          <w:numId w:val="3"/>
        </w:numPr>
        <w:spacing w:after="0"/>
        <w:rPr>
          <w:lang w:val="ka-GE"/>
        </w:rPr>
      </w:pPr>
      <w:r w:rsidRPr="008A2449">
        <w:rPr>
          <w:lang w:val="ka-GE"/>
        </w:rPr>
        <w:t>საინფორმაციო მომსახურება</w:t>
      </w:r>
    </w:p>
    <w:p w14:paraId="3D0609F7" w14:textId="77777777" w:rsidR="005C212D" w:rsidRPr="008A2449" w:rsidRDefault="005C212D" w:rsidP="005C212D">
      <w:pPr>
        <w:spacing w:after="0"/>
        <w:ind w:left="720"/>
        <w:rPr>
          <w:lang w:val="ka-GE"/>
        </w:rPr>
      </w:pPr>
    </w:p>
    <w:p w14:paraId="6932CE2A" w14:textId="77777777" w:rsidR="005C212D" w:rsidRPr="008A2449" w:rsidRDefault="005C212D" w:rsidP="008A2449">
      <w:pPr>
        <w:jc w:val="both"/>
        <w:rPr>
          <w:lang w:val="ka-GE"/>
        </w:rPr>
      </w:pPr>
      <w:r w:rsidRPr="008A2449">
        <w:rPr>
          <w:lang w:val="ka-GE"/>
        </w:rPr>
        <w:t>საკონსულტაციო ცენტრების მიერ ამ პროგრამით დადგენილი მომსახურების მიღების შესაძლებლობა, გარდა საინფორმაციო მომსახურებისა, ექნება მხოლოდ იმ რეგიონში ბიზნესის განმახორციელებელ მეწარმე სუბიექტს,</w:t>
      </w:r>
      <w:r w:rsidRPr="008A2449">
        <w:rPr>
          <w:vertAlign w:val="superscript"/>
          <w:lang w:val="ka-GE"/>
        </w:rPr>
        <w:footnoteReference w:id="1"/>
      </w:r>
      <w:r w:rsidRPr="008A2449">
        <w:rPr>
          <w:lang w:val="ka-GE"/>
        </w:rPr>
        <w:t xml:space="preserve"> სადაც მდებარეობს საკონსულტაციო ცენტრი.</w:t>
      </w:r>
    </w:p>
    <w:p w14:paraId="5D1C20EF" w14:textId="77777777" w:rsidR="005C212D" w:rsidRPr="008A2449" w:rsidRDefault="005C212D" w:rsidP="008A2449">
      <w:pPr>
        <w:jc w:val="both"/>
        <w:rPr>
          <w:lang w:val="ka-GE"/>
        </w:rPr>
      </w:pPr>
      <w:r w:rsidRPr="008A2449">
        <w:rPr>
          <w:lang w:val="ka-GE"/>
        </w:rPr>
        <w:t>მომსახურების მიმღები მეწარმე/ბიზნეს სუბიექტის სავალდებულო კრიტერიუმები დგინდება მომსახურების მიმართულებების შესაბამისად.</w:t>
      </w:r>
    </w:p>
    <w:p w14:paraId="1B285E72" w14:textId="77777777" w:rsidR="005C212D" w:rsidRPr="008A2449" w:rsidRDefault="005C212D" w:rsidP="008A2449">
      <w:pPr>
        <w:jc w:val="both"/>
        <w:rPr>
          <w:b/>
          <w:lang w:val="ka-GE"/>
        </w:rPr>
      </w:pPr>
      <w:r w:rsidRPr="008A2449">
        <w:rPr>
          <w:lang w:val="ka-GE"/>
        </w:rPr>
        <w:br w:type="page"/>
      </w:r>
    </w:p>
    <w:p w14:paraId="76BC0B49" w14:textId="77777777" w:rsidR="005C212D" w:rsidRPr="008A2449" w:rsidRDefault="005C212D" w:rsidP="005C212D">
      <w:pPr>
        <w:jc w:val="center"/>
        <w:rPr>
          <w:b/>
          <w:lang w:val="ka-GE"/>
        </w:rPr>
      </w:pPr>
      <w:r w:rsidRPr="008A2449">
        <w:rPr>
          <w:b/>
          <w:lang w:val="ka-GE"/>
        </w:rPr>
        <w:lastRenderedPageBreak/>
        <w:t>თავი I</w:t>
      </w:r>
    </w:p>
    <w:p w14:paraId="2709E17D" w14:textId="77777777" w:rsidR="005C212D" w:rsidRPr="008A2449" w:rsidRDefault="005C212D" w:rsidP="005C212D">
      <w:pPr>
        <w:jc w:val="center"/>
        <w:rPr>
          <w:b/>
          <w:lang w:val="ka-GE"/>
        </w:rPr>
      </w:pPr>
      <w:r w:rsidRPr="008A2449">
        <w:rPr>
          <w:b/>
          <w:lang w:val="ka-GE"/>
        </w:rPr>
        <w:t>საკონსულტაციო მომსახურების მიმართულება</w:t>
      </w:r>
    </w:p>
    <w:p w14:paraId="411C3687" w14:textId="77777777" w:rsidR="005C212D" w:rsidRPr="008A2449" w:rsidRDefault="005C212D" w:rsidP="008A2449">
      <w:pPr>
        <w:jc w:val="both"/>
        <w:rPr>
          <w:lang w:val="ka-GE"/>
        </w:rPr>
      </w:pPr>
      <w:r w:rsidRPr="008A2449">
        <w:rPr>
          <w:lang w:val="ka-GE"/>
        </w:rPr>
        <w:t xml:space="preserve">საკონსულტაციო მომსახურების გაწევის მიმართულება მოიცავს კონკრეტული მეწარმე სუბიექტის დიაგნოსტიკას, მისი შემდგომი განვითარების გზების იდენტიფიცირებას, საკონსულტაციო კომპანიის ჩართულობით მასზე მორგებული მომსახურების მიწოდებას და ამავე მომსახურების თანადაფინანსებას. </w:t>
      </w:r>
    </w:p>
    <w:p w14:paraId="7264A2C5" w14:textId="77777777" w:rsidR="005C212D" w:rsidRPr="008A2449" w:rsidRDefault="005C212D" w:rsidP="008A2449">
      <w:pPr>
        <w:jc w:val="both"/>
        <w:rPr>
          <w:lang w:val="ka-GE"/>
        </w:rPr>
      </w:pPr>
    </w:p>
    <w:p w14:paraId="19C55595" w14:textId="77777777" w:rsidR="005C212D" w:rsidRPr="008A2449" w:rsidRDefault="005C212D" w:rsidP="008A2449">
      <w:pPr>
        <w:jc w:val="both"/>
        <w:rPr>
          <w:b/>
          <w:lang w:val="ka-GE"/>
        </w:rPr>
      </w:pPr>
      <w:r w:rsidRPr="008A2449">
        <w:rPr>
          <w:b/>
          <w:lang w:val="ka-GE"/>
        </w:rPr>
        <w:t>მუხლი 1. საკონსულტაციო მომსახურების მიმართულების ფარგლებში მეწარმე სუბიექტი შეძლებს ქვემოთ მოცემულ მოდულებში შესაბამისი მომსახურებების მიღებას:</w:t>
      </w:r>
    </w:p>
    <w:p w14:paraId="4270EBE7" w14:textId="77777777" w:rsidR="005C212D" w:rsidRPr="008A2449" w:rsidRDefault="005C212D" w:rsidP="008A2449">
      <w:pPr>
        <w:jc w:val="both"/>
        <w:rPr>
          <w:lang w:val="ka-GE"/>
        </w:rPr>
      </w:pPr>
      <w:r w:rsidRPr="008A2449">
        <w:rPr>
          <w:lang w:val="ka-GE"/>
        </w:rPr>
        <w:t>ა) გაყიდვები და მარკეტინგი,</w:t>
      </w:r>
    </w:p>
    <w:p w14:paraId="0116CE4B" w14:textId="77777777" w:rsidR="005C212D" w:rsidRPr="008A2449" w:rsidRDefault="005C212D" w:rsidP="008A2449">
      <w:pPr>
        <w:jc w:val="both"/>
        <w:rPr>
          <w:lang w:val="ka-GE"/>
        </w:rPr>
      </w:pPr>
      <w:r w:rsidRPr="008A2449">
        <w:rPr>
          <w:lang w:val="ka-GE"/>
        </w:rPr>
        <w:t>ბ) საგადასახადო საკითხები,</w:t>
      </w:r>
    </w:p>
    <w:p w14:paraId="62F4D0C3" w14:textId="77777777" w:rsidR="005C212D" w:rsidRPr="008A2449" w:rsidRDefault="005C212D" w:rsidP="008A2449">
      <w:pPr>
        <w:jc w:val="both"/>
        <w:rPr>
          <w:lang w:val="ka-GE"/>
        </w:rPr>
      </w:pPr>
      <w:r w:rsidRPr="008A2449">
        <w:rPr>
          <w:lang w:val="ka-GE"/>
        </w:rPr>
        <w:t>გ) იურიდიული მომსახურება,</w:t>
      </w:r>
    </w:p>
    <w:p w14:paraId="64F9A78C" w14:textId="77777777" w:rsidR="005C212D" w:rsidRPr="008A2449" w:rsidRDefault="005C212D" w:rsidP="008A2449">
      <w:pPr>
        <w:jc w:val="both"/>
        <w:rPr>
          <w:lang w:val="ka-GE"/>
        </w:rPr>
      </w:pPr>
      <w:r w:rsidRPr="008A2449">
        <w:rPr>
          <w:lang w:val="ka-GE"/>
        </w:rPr>
        <w:t>დ) ფინანსები და ბუღალტერია,</w:t>
      </w:r>
    </w:p>
    <w:p w14:paraId="589DA1F0" w14:textId="77777777" w:rsidR="005C212D" w:rsidRPr="008A2449" w:rsidRDefault="005C212D" w:rsidP="008A2449">
      <w:pPr>
        <w:jc w:val="both"/>
        <w:rPr>
          <w:lang w:val="ka-GE"/>
        </w:rPr>
      </w:pPr>
      <w:r w:rsidRPr="008A2449">
        <w:rPr>
          <w:lang w:val="ka-GE"/>
        </w:rPr>
        <w:t>ე) ბიზნეს მოდელირება და სტრატეგიის დაგეგმვა,</w:t>
      </w:r>
    </w:p>
    <w:p w14:paraId="325A6C99" w14:textId="77777777" w:rsidR="005C212D" w:rsidRPr="008A2449" w:rsidRDefault="005C212D" w:rsidP="008A2449">
      <w:pPr>
        <w:jc w:val="both"/>
        <w:rPr>
          <w:lang w:val="ka-GE"/>
        </w:rPr>
      </w:pPr>
      <w:r w:rsidRPr="008A2449">
        <w:rPr>
          <w:lang w:val="ka-GE"/>
        </w:rPr>
        <w:t>ვ) გაციფრულება.</w:t>
      </w:r>
    </w:p>
    <w:p w14:paraId="5204FF73" w14:textId="77777777" w:rsidR="005C212D" w:rsidRPr="008A2449" w:rsidRDefault="005C212D" w:rsidP="008A2449">
      <w:pPr>
        <w:jc w:val="both"/>
        <w:rPr>
          <w:lang w:val="ka-GE"/>
        </w:rPr>
      </w:pPr>
    </w:p>
    <w:p w14:paraId="24C8BEC3" w14:textId="77777777" w:rsidR="005C212D" w:rsidRPr="008A2449" w:rsidRDefault="005C212D" w:rsidP="008A2449">
      <w:pPr>
        <w:jc w:val="both"/>
        <w:rPr>
          <w:b/>
          <w:lang w:val="ka-GE"/>
        </w:rPr>
      </w:pPr>
      <w:r w:rsidRPr="008A2449">
        <w:rPr>
          <w:b/>
          <w:lang w:val="ka-GE"/>
        </w:rPr>
        <w:t>მუხლი 2. საკონსულტაციო მომსახურების მიმართულების ფარგლებში ჩართული მეწარმე სუბიექტის კრიტერიუმები:</w:t>
      </w:r>
    </w:p>
    <w:p w14:paraId="444B0C77" w14:textId="6876BA7C" w:rsidR="005C212D" w:rsidRPr="008A2449" w:rsidRDefault="005C212D" w:rsidP="008A2449">
      <w:pPr>
        <w:jc w:val="both"/>
        <w:rPr>
          <w:b/>
          <w:lang w:val="ka-GE"/>
        </w:rPr>
      </w:pPr>
      <w:r w:rsidRPr="008A2449">
        <w:rPr>
          <w:b/>
          <w:lang w:val="ka-GE"/>
        </w:rPr>
        <w:t xml:space="preserve">1) საკონსულტაციო მომსახურების მიმართულების ფარგლებში ჩართული მეწარმე სუბიექტი გარდა </w:t>
      </w:r>
      <w:r w:rsidRPr="00766986">
        <w:rPr>
          <w:b/>
          <w:lang w:val="ka-GE"/>
        </w:rPr>
        <w:t>დადგენილების მე-</w:t>
      </w:r>
      <w:r w:rsidRPr="008A2449">
        <w:rPr>
          <w:b/>
          <w:lang w:val="ka-GE"/>
        </w:rPr>
        <w:t>4 მუხლის პირველი პუნქტით განსაზღვრული მოთხოვნებისა უნდა აკმაყოფილებდეს შემდეგ კრიტერიუმებს:</w:t>
      </w:r>
    </w:p>
    <w:p w14:paraId="0E2A11F7" w14:textId="77777777" w:rsidR="005C212D" w:rsidRPr="008A2449" w:rsidRDefault="005C212D" w:rsidP="008A2449">
      <w:pPr>
        <w:jc w:val="both"/>
        <w:rPr>
          <w:lang w:val="ka-GE"/>
        </w:rPr>
      </w:pPr>
      <w:r w:rsidRPr="008A2449">
        <w:rPr>
          <w:lang w:val="ka-GE"/>
        </w:rPr>
        <w:t xml:space="preserve">ა)მისი ეკონომიკური საქმიანობა არ შეესაბამება საქართველოს ეროვნული კლასიფიკატორის - სეკ 006-2016 (NACE-Rev-2) ის შემდეგ საქმიანობის კოდებს: </w:t>
      </w:r>
    </w:p>
    <w:tbl>
      <w:tblPr>
        <w:tblStyle w:val="TableGrid"/>
        <w:tblW w:w="9350" w:type="dxa"/>
        <w:tblLayout w:type="fixed"/>
        <w:tblLook w:val="04A0" w:firstRow="1" w:lastRow="0" w:firstColumn="1" w:lastColumn="0" w:noHBand="0" w:noVBand="1"/>
      </w:tblPr>
      <w:tblGrid>
        <w:gridCol w:w="1075"/>
        <w:gridCol w:w="1080"/>
        <w:gridCol w:w="7195"/>
      </w:tblGrid>
      <w:tr w:rsidR="005C212D" w:rsidRPr="008A2449" w14:paraId="182BDC37" w14:textId="77777777" w:rsidTr="00E572CE">
        <w:trPr>
          <w:trHeight w:val="285"/>
        </w:trPr>
        <w:tc>
          <w:tcPr>
            <w:tcW w:w="1075" w:type="dxa"/>
          </w:tcPr>
          <w:p w14:paraId="7EFFF74F" w14:textId="77777777" w:rsidR="005C212D" w:rsidRPr="00106015" w:rsidRDefault="005C212D" w:rsidP="008A2449">
            <w:pPr>
              <w:spacing w:after="160" w:line="259" w:lineRule="auto"/>
              <w:jc w:val="both"/>
              <w:rPr>
                <w:highlight w:val="yellow"/>
                <w:lang w:val="ka-GE"/>
              </w:rPr>
            </w:pPr>
            <w:r w:rsidRPr="00766986">
              <w:rPr>
                <w:b/>
                <w:bCs/>
                <w:lang w:val="ka-GE"/>
              </w:rPr>
              <w:t>განყოფილება</w:t>
            </w:r>
          </w:p>
        </w:tc>
        <w:tc>
          <w:tcPr>
            <w:tcW w:w="1080" w:type="dxa"/>
            <w:noWrap/>
            <w:hideMark/>
          </w:tcPr>
          <w:p w14:paraId="3CBF95F3" w14:textId="77777777" w:rsidR="005C212D" w:rsidRPr="00106015" w:rsidRDefault="005C212D" w:rsidP="008A2449">
            <w:pPr>
              <w:spacing w:after="160" w:line="259" w:lineRule="auto"/>
              <w:jc w:val="both"/>
              <w:rPr>
                <w:b/>
                <w:highlight w:val="yellow"/>
                <w:lang w:val="ka-GE"/>
              </w:rPr>
            </w:pPr>
            <w:r w:rsidRPr="00766986">
              <w:rPr>
                <w:b/>
                <w:lang w:val="ka-GE"/>
              </w:rPr>
              <w:t>ქვეკლასი</w:t>
            </w:r>
          </w:p>
        </w:tc>
        <w:tc>
          <w:tcPr>
            <w:tcW w:w="7195" w:type="dxa"/>
            <w:noWrap/>
            <w:hideMark/>
          </w:tcPr>
          <w:p w14:paraId="1CE855AF" w14:textId="77777777" w:rsidR="005C212D" w:rsidRPr="008A2449" w:rsidRDefault="005C212D" w:rsidP="008A2449">
            <w:pPr>
              <w:spacing w:after="160" w:line="259" w:lineRule="auto"/>
              <w:jc w:val="both"/>
              <w:rPr>
                <w:b/>
                <w:lang w:val="ka-GE"/>
              </w:rPr>
            </w:pPr>
            <w:r w:rsidRPr="008A2449">
              <w:rPr>
                <w:b/>
                <w:lang w:val="ka-GE"/>
              </w:rPr>
              <w:t>ქვეკლასის დასახელება</w:t>
            </w:r>
          </w:p>
        </w:tc>
      </w:tr>
      <w:tr w:rsidR="005C212D" w:rsidRPr="008A2449" w14:paraId="60DDC30D" w14:textId="77777777" w:rsidTr="00E572CE">
        <w:trPr>
          <w:trHeight w:val="285"/>
        </w:trPr>
        <w:tc>
          <w:tcPr>
            <w:tcW w:w="1075" w:type="dxa"/>
          </w:tcPr>
          <w:p w14:paraId="65ABE1F3" w14:textId="77777777" w:rsidR="005C212D" w:rsidRPr="008A2449" w:rsidRDefault="005C212D" w:rsidP="008A2449">
            <w:pPr>
              <w:spacing w:after="160" w:line="259" w:lineRule="auto"/>
              <w:jc w:val="both"/>
              <w:rPr>
                <w:lang w:val="ka-GE"/>
              </w:rPr>
            </w:pPr>
            <w:r w:rsidRPr="008A2449">
              <w:rPr>
                <w:lang w:val="ka-GE"/>
              </w:rPr>
              <w:t>01</w:t>
            </w:r>
          </w:p>
        </w:tc>
        <w:tc>
          <w:tcPr>
            <w:tcW w:w="1080" w:type="dxa"/>
            <w:noWrap/>
            <w:hideMark/>
          </w:tcPr>
          <w:p w14:paraId="0E081B6B" w14:textId="77777777" w:rsidR="005C212D" w:rsidRPr="008A2449" w:rsidRDefault="005C212D" w:rsidP="008A2449">
            <w:pPr>
              <w:spacing w:after="160" w:line="259" w:lineRule="auto"/>
              <w:jc w:val="both"/>
              <w:rPr>
                <w:lang w:val="ka-GE"/>
              </w:rPr>
            </w:pPr>
            <w:r w:rsidRPr="008A2449">
              <w:rPr>
                <w:lang w:val="ka-GE"/>
              </w:rPr>
              <w:t>01.28.0</w:t>
            </w:r>
          </w:p>
        </w:tc>
        <w:tc>
          <w:tcPr>
            <w:tcW w:w="7195" w:type="dxa"/>
            <w:noWrap/>
            <w:hideMark/>
          </w:tcPr>
          <w:p w14:paraId="6810A02D" w14:textId="77777777" w:rsidR="005C212D" w:rsidRPr="008A2449" w:rsidRDefault="005C212D" w:rsidP="008A2449">
            <w:pPr>
              <w:spacing w:after="160" w:line="259" w:lineRule="auto"/>
              <w:jc w:val="both"/>
              <w:rPr>
                <w:lang w:val="ka-GE"/>
              </w:rPr>
            </w:pPr>
            <w:r w:rsidRPr="008A2449">
              <w:rPr>
                <w:lang w:val="ka-GE"/>
              </w:rPr>
              <w:t>სანელებლების, არომატული, ნარკოტიკული და ფარმაცევტული კულტურების მოყვანა</w:t>
            </w:r>
          </w:p>
        </w:tc>
      </w:tr>
      <w:tr w:rsidR="005C212D" w:rsidRPr="008A2449" w14:paraId="498CFA64" w14:textId="77777777" w:rsidTr="00E572CE">
        <w:trPr>
          <w:trHeight w:val="285"/>
        </w:trPr>
        <w:tc>
          <w:tcPr>
            <w:tcW w:w="1075" w:type="dxa"/>
          </w:tcPr>
          <w:p w14:paraId="3690A85C" w14:textId="77777777" w:rsidR="005C212D" w:rsidRPr="008A2449" w:rsidRDefault="005C212D" w:rsidP="008A2449">
            <w:pPr>
              <w:spacing w:after="160" w:line="259" w:lineRule="auto"/>
              <w:jc w:val="both"/>
              <w:rPr>
                <w:lang w:val="ka-GE"/>
              </w:rPr>
            </w:pPr>
            <w:r w:rsidRPr="008A2449">
              <w:rPr>
                <w:lang w:val="ka-GE"/>
              </w:rPr>
              <w:t>01</w:t>
            </w:r>
          </w:p>
        </w:tc>
        <w:tc>
          <w:tcPr>
            <w:tcW w:w="1080" w:type="dxa"/>
            <w:noWrap/>
            <w:hideMark/>
          </w:tcPr>
          <w:p w14:paraId="669794B5" w14:textId="77777777" w:rsidR="005C212D" w:rsidRPr="008A2449" w:rsidRDefault="005C212D" w:rsidP="008A2449">
            <w:pPr>
              <w:spacing w:after="160" w:line="259" w:lineRule="auto"/>
              <w:jc w:val="both"/>
              <w:rPr>
                <w:lang w:val="ka-GE"/>
              </w:rPr>
            </w:pPr>
            <w:r w:rsidRPr="008A2449">
              <w:rPr>
                <w:lang w:val="ka-GE"/>
              </w:rPr>
              <w:t>01.70.0</w:t>
            </w:r>
          </w:p>
        </w:tc>
        <w:tc>
          <w:tcPr>
            <w:tcW w:w="7195" w:type="dxa"/>
            <w:noWrap/>
            <w:hideMark/>
          </w:tcPr>
          <w:p w14:paraId="6030C1F0" w14:textId="77777777" w:rsidR="005C212D" w:rsidRPr="008A2449" w:rsidRDefault="005C212D" w:rsidP="008A2449">
            <w:pPr>
              <w:spacing w:after="160" w:line="259" w:lineRule="auto"/>
              <w:jc w:val="both"/>
              <w:rPr>
                <w:lang w:val="ka-GE"/>
              </w:rPr>
            </w:pPr>
            <w:r w:rsidRPr="008A2449">
              <w:rPr>
                <w:lang w:val="ka-GE"/>
              </w:rPr>
              <w:t>ნადირობა, ჭერა და მასთან დაკავშირებული მომსახურება</w:t>
            </w:r>
          </w:p>
        </w:tc>
      </w:tr>
      <w:tr w:rsidR="005C212D" w:rsidRPr="008A2449" w14:paraId="12324360" w14:textId="77777777" w:rsidTr="00E572CE">
        <w:trPr>
          <w:trHeight w:val="285"/>
        </w:trPr>
        <w:tc>
          <w:tcPr>
            <w:tcW w:w="1075" w:type="dxa"/>
          </w:tcPr>
          <w:p w14:paraId="406E9EE0" w14:textId="77777777" w:rsidR="005C212D" w:rsidRPr="008A2449" w:rsidRDefault="005C212D" w:rsidP="008A2449">
            <w:pPr>
              <w:spacing w:after="160" w:line="259" w:lineRule="auto"/>
              <w:jc w:val="both"/>
              <w:rPr>
                <w:lang w:val="ka-GE"/>
              </w:rPr>
            </w:pPr>
            <w:r w:rsidRPr="008A2449">
              <w:rPr>
                <w:lang w:val="ka-GE"/>
              </w:rPr>
              <w:t>20</w:t>
            </w:r>
          </w:p>
        </w:tc>
        <w:tc>
          <w:tcPr>
            <w:tcW w:w="1080" w:type="dxa"/>
            <w:noWrap/>
            <w:hideMark/>
          </w:tcPr>
          <w:p w14:paraId="6ED1DB54" w14:textId="77777777" w:rsidR="005C212D" w:rsidRPr="008A2449" w:rsidRDefault="005C212D" w:rsidP="008A2449">
            <w:pPr>
              <w:spacing w:after="160" w:line="259" w:lineRule="auto"/>
              <w:jc w:val="both"/>
              <w:rPr>
                <w:lang w:val="ka-GE"/>
              </w:rPr>
            </w:pPr>
            <w:r w:rsidRPr="008A2449">
              <w:rPr>
                <w:lang w:val="ka-GE"/>
              </w:rPr>
              <w:t>20.51.0</w:t>
            </w:r>
          </w:p>
        </w:tc>
        <w:tc>
          <w:tcPr>
            <w:tcW w:w="7195" w:type="dxa"/>
            <w:noWrap/>
            <w:hideMark/>
          </w:tcPr>
          <w:p w14:paraId="03D80B33" w14:textId="77777777" w:rsidR="005C212D" w:rsidRPr="008A2449" w:rsidRDefault="005C212D" w:rsidP="008A2449">
            <w:pPr>
              <w:spacing w:after="160" w:line="259" w:lineRule="auto"/>
              <w:jc w:val="both"/>
              <w:rPr>
                <w:lang w:val="ka-GE"/>
              </w:rPr>
            </w:pPr>
            <w:r w:rsidRPr="008A2449">
              <w:rPr>
                <w:lang w:val="ka-GE"/>
              </w:rPr>
              <w:t>ფეთქებადი ნივთიერებების წარმოება</w:t>
            </w:r>
          </w:p>
        </w:tc>
      </w:tr>
      <w:tr w:rsidR="005C212D" w:rsidRPr="008A2449" w14:paraId="6C7252D6" w14:textId="77777777" w:rsidTr="00E572CE">
        <w:trPr>
          <w:trHeight w:val="285"/>
        </w:trPr>
        <w:tc>
          <w:tcPr>
            <w:tcW w:w="1075" w:type="dxa"/>
          </w:tcPr>
          <w:p w14:paraId="2D4F74EC" w14:textId="77777777" w:rsidR="005C212D" w:rsidRPr="008A2449" w:rsidRDefault="005C212D" w:rsidP="008A2449">
            <w:pPr>
              <w:spacing w:after="160" w:line="259" w:lineRule="auto"/>
              <w:jc w:val="both"/>
              <w:rPr>
                <w:lang w:val="ka-GE"/>
              </w:rPr>
            </w:pPr>
            <w:r w:rsidRPr="008A2449">
              <w:rPr>
                <w:lang w:val="ka-GE"/>
              </w:rPr>
              <w:t>64</w:t>
            </w:r>
          </w:p>
        </w:tc>
        <w:tc>
          <w:tcPr>
            <w:tcW w:w="1080" w:type="dxa"/>
            <w:noWrap/>
            <w:hideMark/>
          </w:tcPr>
          <w:p w14:paraId="5C453A4E" w14:textId="77777777" w:rsidR="005C212D" w:rsidRPr="008A2449" w:rsidRDefault="005C212D" w:rsidP="008A2449">
            <w:pPr>
              <w:spacing w:after="160" w:line="259" w:lineRule="auto"/>
              <w:jc w:val="both"/>
              <w:rPr>
                <w:lang w:val="ka-GE"/>
              </w:rPr>
            </w:pPr>
            <w:r w:rsidRPr="008A2449">
              <w:rPr>
                <w:lang w:val="ka-GE"/>
              </w:rPr>
              <w:t>64.11.0</w:t>
            </w:r>
          </w:p>
        </w:tc>
        <w:tc>
          <w:tcPr>
            <w:tcW w:w="7195" w:type="dxa"/>
            <w:noWrap/>
            <w:hideMark/>
          </w:tcPr>
          <w:p w14:paraId="66DAA17E" w14:textId="77777777" w:rsidR="005C212D" w:rsidRPr="008A2449" w:rsidRDefault="005C212D" w:rsidP="008A2449">
            <w:pPr>
              <w:spacing w:after="160" w:line="259" w:lineRule="auto"/>
              <w:jc w:val="both"/>
              <w:rPr>
                <w:lang w:val="ka-GE"/>
              </w:rPr>
            </w:pPr>
            <w:r w:rsidRPr="008A2449">
              <w:rPr>
                <w:lang w:val="ka-GE"/>
              </w:rPr>
              <w:t>ცენტრალური ბანკის საქმიანობა</w:t>
            </w:r>
          </w:p>
        </w:tc>
      </w:tr>
      <w:tr w:rsidR="005C212D" w:rsidRPr="008A2449" w14:paraId="486504E4" w14:textId="77777777" w:rsidTr="00E572CE">
        <w:trPr>
          <w:trHeight w:val="285"/>
        </w:trPr>
        <w:tc>
          <w:tcPr>
            <w:tcW w:w="1075" w:type="dxa"/>
          </w:tcPr>
          <w:p w14:paraId="78E0C371" w14:textId="77777777" w:rsidR="005C212D" w:rsidRPr="008A2449" w:rsidRDefault="005C212D" w:rsidP="008A2449">
            <w:pPr>
              <w:spacing w:after="160" w:line="259" w:lineRule="auto"/>
              <w:jc w:val="both"/>
              <w:rPr>
                <w:lang w:val="ka-GE"/>
              </w:rPr>
            </w:pPr>
            <w:r w:rsidRPr="008A2449">
              <w:rPr>
                <w:lang w:val="ka-GE"/>
              </w:rPr>
              <w:t>64</w:t>
            </w:r>
          </w:p>
        </w:tc>
        <w:tc>
          <w:tcPr>
            <w:tcW w:w="1080" w:type="dxa"/>
            <w:noWrap/>
            <w:hideMark/>
          </w:tcPr>
          <w:p w14:paraId="61B6AEE0" w14:textId="77777777" w:rsidR="005C212D" w:rsidRPr="008A2449" w:rsidRDefault="005C212D" w:rsidP="008A2449">
            <w:pPr>
              <w:spacing w:after="160" w:line="259" w:lineRule="auto"/>
              <w:jc w:val="both"/>
              <w:rPr>
                <w:lang w:val="ka-GE"/>
              </w:rPr>
            </w:pPr>
            <w:r w:rsidRPr="008A2449">
              <w:rPr>
                <w:lang w:val="ka-GE"/>
              </w:rPr>
              <w:t>64.19.1</w:t>
            </w:r>
          </w:p>
        </w:tc>
        <w:tc>
          <w:tcPr>
            <w:tcW w:w="7195" w:type="dxa"/>
            <w:noWrap/>
            <w:hideMark/>
          </w:tcPr>
          <w:p w14:paraId="385FA5B6" w14:textId="77777777" w:rsidR="005C212D" w:rsidRPr="008A2449" w:rsidRDefault="005C212D" w:rsidP="008A2449">
            <w:pPr>
              <w:spacing w:after="160" w:line="259" w:lineRule="auto"/>
              <w:jc w:val="both"/>
              <w:rPr>
                <w:lang w:val="ka-GE"/>
              </w:rPr>
            </w:pPr>
            <w:r w:rsidRPr="008A2449">
              <w:rPr>
                <w:lang w:val="ka-GE"/>
              </w:rPr>
              <w:t>კომერციული ბანკების საქმიანობა</w:t>
            </w:r>
          </w:p>
        </w:tc>
      </w:tr>
      <w:tr w:rsidR="005C212D" w:rsidRPr="008A2449" w14:paraId="4AA2474F" w14:textId="77777777" w:rsidTr="00E572CE">
        <w:trPr>
          <w:trHeight w:val="285"/>
        </w:trPr>
        <w:tc>
          <w:tcPr>
            <w:tcW w:w="1075" w:type="dxa"/>
          </w:tcPr>
          <w:p w14:paraId="66798D7F" w14:textId="77777777" w:rsidR="005C212D" w:rsidRPr="008A2449" w:rsidRDefault="005C212D" w:rsidP="008A2449">
            <w:pPr>
              <w:spacing w:after="160" w:line="259" w:lineRule="auto"/>
              <w:jc w:val="both"/>
              <w:rPr>
                <w:lang w:val="ka-GE"/>
              </w:rPr>
            </w:pPr>
            <w:r w:rsidRPr="008A2449">
              <w:rPr>
                <w:lang w:val="ka-GE"/>
              </w:rPr>
              <w:t>64</w:t>
            </w:r>
          </w:p>
        </w:tc>
        <w:tc>
          <w:tcPr>
            <w:tcW w:w="1080" w:type="dxa"/>
            <w:noWrap/>
            <w:hideMark/>
          </w:tcPr>
          <w:p w14:paraId="603625D7" w14:textId="77777777" w:rsidR="005C212D" w:rsidRPr="008A2449" w:rsidRDefault="005C212D" w:rsidP="008A2449">
            <w:pPr>
              <w:spacing w:after="160" w:line="259" w:lineRule="auto"/>
              <w:jc w:val="both"/>
              <w:rPr>
                <w:lang w:val="ka-GE"/>
              </w:rPr>
            </w:pPr>
            <w:r w:rsidRPr="008A2449">
              <w:rPr>
                <w:lang w:val="ka-GE"/>
              </w:rPr>
              <w:t>64.19.9</w:t>
            </w:r>
          </w:p>
        </w:tc>
        <w:tc>
          <w:tcPr>
            <w:tcW w:w="7195" w:type="dxa"/>
            <w:noWrap/>
            <w:hideMark/>
          </w:tcPr>
          <w:p w14:paraId="185687BE" w14:textId="77777777" w:rsidR="005C212D" w:rsidRPr="008A2449" w:rsidRDefault="005C212D" w:rsidP="008A2449">
            <w:pPr>
              <w:spacing w:after="160" w:line="259" w:lineRule="auto"/>
              <w:jc w:val="both"/>
              <w:rPr>
                <w:lang w:val="ka-GE"/>
              </w:rPr>
            </w:pPr>
            <w:r w:rsidRPr="008A2449">
              <w:rPr>
                <w:lang w:val="ka-GE"/>
              </w:rPr>
              <w:t>მონეტარული შუამავლობის სხვა სახეები</w:t>
            </w:r>
          </w:p>
        </w:tc>
      </w:tr>
      <w:tr w:rsidR="005C212D" w:rsidRPr="008A2449" w14:paraId="79A9A121" w14:textId="77777777" w:rsidTr="00E572CE">
        <w:trPr>
          <w:trHeight w:val="285"/>
        </w:trPr>
        <w:tc>
          <w:tcPr>
            <w:tcW w:w="1075" w:type="dxa"/>
          </w:tcPr>
          <w:p w14:paraId="4E967FE2" w14:textId="77777777" w:rsidR="005C212D" w:rsidRPr="008A2449" w:rsidRDefault="005C212D" w:rsidP="008A2449">
            <w:pPr>
              <w:spacing w:after="160" w:line="259" w:lineRule="auto"/>
              <w:jc w:val="both"/>
              <w:rPr>
                <w:lang w:val="ka-GE"/>
              </w:rPr>
            </w:pPr>
            <w:r w:rsidRPr="008A2449">
              <w:rPr>
                <w:lang w:val="ka-GE"/>
              </w:rPr>
              <w:lastRenderedPageBreak/>
              <w:t>64</w:t>
            </w:r>
          </w:p>
        </w:tc>
        <w:tc>
          <w:tcPr>
            <w:tcW w:w="1080" w:type="dxa"/>
            <w:noWrap/>
            <w:hideMark/>
          </w:tcPr>
          <w:p w14:paraId="7EB4E74D" w14:textId="77777777" w:rsidR="005C212D" w:rsidRPr="008A2449" w:rsidRDefault="005C212D" w:rsidP="008A2449">
            <w:pPr>
              <w:spacing w:after="160" w:line="259" w:lineRule="auto"/>
              <w:jc w:val="both"/>
              <w:rPr>
                <w:lang w:val="ka-GE"/>
              </w:rPr>
            </w:pPr>
            <w:r w:rsidRPr="008A2449">
              <w:rPr>
                <w:lang w:val="ka-GE"/>
              </w:rPr>
              <w:t>64.20.0</w:t>
            </w:r>
          </w:p>
        </w:tc>
        <w:tc>
          <w:tcPr>
            <w:tcW w:w="7195" w:type="dxa"/>
            <w:noWrap/>
            <w:hideMark/>
          </w:tcPr>
          <w:p w14:paraId="7D1A6BE1" w14:textId="77777777" w:rsidR="005C212D" w:rsidRPr="008A2449" w:rsidRDefault="005C212D" w:rsidP="008A2449">
            <w:pPr>
              <w:spacing w:after="160" w:line="259" w:lineRule="auto"/>
              <w:jc w:val="both"/>
              <w:rPr>
                <w:lang w:val="ka-GE"/>
              </w:rPr>
            </w:pPr>
            <w:r w:rsidRPr="008A2449">
              <w:rPr>
                <w:lang w:val="ka-GE"/>
              </w:rPr>
              <w:t>ჰოლდინგური კომპანიების საქმიანობები</w:t>
            </w:r>
          </w:p>
        </w:tc>
      </w:tr>
      <w:tr w:rsidR="005C212D" w:rsidRPr="008A2449" w14:paraId="152B84AD" w14:textId="77777777" w:rsidTr="00E572CE">
        <w:trPr>
          <w:trHeight w:val="285"/>
        </w:trPr>
        <w:tc>
          <w:tcPr>
            <w:tcW w:w="1075" w:type="dxa"/>
          </w:tcPr>
          <w:p w14:paraId="7B975BB5" w14:textId="77777777" w:rsidR="005C212D" w:rsidRPr="008A2449" w:rsidRDefault="005C212D" w:rsidP="008A2449">
            <w:pPr>
              <w:spacing w:after="160" w:line="259" w:lineRule="auto"/>
              <w:jc w:val="both"/>
              <w:rPr>
                <w:lang w:val="ka-GE"/>
              </w:rPr>
            </w:pPr>
            <w:r w:rsidRPr="008A2449">
              <w:rPr>
                <w:lang w:val="ka-GE"/>
              </w:rPr>
              <w:t>64</w:t>
            </w:r>
          </w:p>
        </w:tc>
        <w:tc>
          <w:tcPr>
            <w:tcW w:w="1080" w:type="dxa"/>
            <w:noWrap/>
            <w:hideMark/>
          </w:tcPr>
          <w:p w14:paraId="78A61E2B" w14:textId="77777777" w:rsidR="005C212D" w:rsidRPr="008A2449" w:rsidRDefault="005C212D" w:rsidP="008A2449">
            <w:pPr>
              <w:spacing w:after="160" w:line="259" w:lineRule="auto"/>
              <w:jc w:val="both"/>
              <w:rPr>
                <w:lang w:val="ka-GE"/>
              </w:rPr>
            </w:pPr>
            <w:r w:rsidRPr="008A2449">
              <w:rPr>
                <w:lang w:val="ka-GE"/>
              </w:rPr>
              <w:t>64.30.0</w:t>
            </w:r>
          </w:p>
        </w:tc>
        <w:tc>
          <w:tcPr>
            <w:tcW w:w="7195" w:type="dxa"/>
            <w:noWrap/>
            <w:hideMark/>
          </w:tcPr>
          <w:p w14:paraId="17E05BB9" w14:textId="77777777" w:rsidR="005C212D" w:rsidRPr="008A2449" w:rsidRDefault="005C212D" w:rsidP="008A2449">
            <w:pPr>
              <w:spacing w:after="160" w:line="259" w:lineRule="auto"/>
              <w:jc w:val="both"/>
              <w:rPr>
                <w:lang w:val="ka-GE"/>
              </w:rPr>
            </w:pPr>
            <w:r w:rsidRPr="008A2449">
              <w:rPr>
                <w:lang w:val="ka-GE"/>
              </w:rPr>
              <w:t>ტრასტები, ფონდები და მსგავსი ფინანსური სუბიექტები</w:t>
            </w:r>
          </w:p>
        </w:tc>
      </w:tr>
      <w:tr w:rsidR="005C212D" w:rsidRPr="008A2449" w14:paraId="385CA5D9" w14:textId="77777777" w:rsidTr="00E572CE">
        <w:trPr>
          <w:trHeight w:val="285"/>
        </w:trPr>
        <w:tc>
          <w:tcPr>
            <w:tcW w:w="1075" w:type="dxa"/>
          </w:tcPr>
          <w:p w14:paraId="418DAABA" w14:textId="77777777" w:rsidR="005C212D" w:rsidRPr="008A2449" w:rsidRDefault="005C212D" w:rsidP="008A2449">
            <w:pPr>
              <w:spacing w:after="160" w:line="259" w:lineRule="auto"/>
              <w:jc w:val="both"/>
              <w:rPr>
                <w:lang w:val="ka-GE"/>
              </w:rPr>
            </w:pPr>
            <w:r w:rsidRPr="008A2449">
              <w:rPr>
                <w:lang w:val="ka-GE"/>
              </w:rPr>
              <w:t>65</w:t>
            </w:r>
          </w:p>
        </w:tc>
        <w:tc>
          <w:tcPr>
            <w:tcW w:w="1080" w:type="dxa"/>
            <w:noWrap/>
            <w:hideMark/>
          </w:tcPr>
          <w:p w14:paraId="72DB7F27" w14:textId="77777777" w:rsidR="005C212D" w:rsidRPr="008A2449" w:rsidRDefault="005C212D" w:rsidP="008A2449">
            <w:pPr>
              <w:spacing w:after="160" w:line="259" w:lineRule="auto"/>
              <w:jc w:val="both"/>
              <w:rPr>
                <w:lang w:val="ka-GE"/>
              </w:rPr>
            </w:pPr>
            <w:r w:rsidRPr="008A2449">
              <w:rPr>
                <w:lang w:val="ka-GE"/>
              </w:rPr>
              <w:t>65.30.0</w:t>
            </w:r>
          </w:p>
        </w:tc>
        <w:tc>
          <w:tcPr>
            <w:tcW w:w="7195" w:type="dxa"/>
            <w:noWrap/>
            <w:hideMark/>
          </w:tcPr>
          <w:p w14:paraId="69A9F659" w14:textId="77777777" w:rsidR="005C212D" w:rsidRPr="008A2449" w:rsidRDefault="005C212D" w:rsidP="008A2449">
            <w:pPr>
              <w:spacing w:after="160" w:line="259" w:lineRule="auto"/>
              <w:jc w:val="both"/>
              <w:rPr>
                <w:lang w:val="ka-GE"/>
              </w:rPr>
            </w:pPr>
            <w:r w:rsidRPr="008A2449">
              <w:rPr>
                <w:lang w:val="ka-GE"/>
              </w:rPr>
              <w:t>საპენსიო ფონდების საქმიანობები</w:t>
            </w:r>
          </w:p>
        </w:tc>
      </w:tr>
      <w:tr w:rsidR="005C212D" w:rsidRPr="008A2449" w14:paraId="0B21ED3A" w14:textId="77777777" w:rsidTr="00E572CE">
        <w:trPr>
          <w:trHeight w:val="285"/>
        </w:trPr>
        <w:tc>
          <w:tcPr>
            <w:tcW w:w="1075" w:type="dxa"/>
          </w:tcPr>
          <w:p w14:paraId="555356CA" w14:textId="77777777" w:rsidR="005C212D" w:rsidRPr="008A2449" w:rsidRDefault="005C212D" w:rsidP="008A2449">
            <w:pPr>
              <w:spacing w:after="160" w:line="259" w:lineRule="auto"/>
              <w:jc w:val="both"/>
              <w:rPr>
                <w:lang w:val="ka-GE"/>
              </w:rPr>
            </w:pPr>
            <w:r w:rsidRPr="008A2449">
              <w:rPr>
                <w:lang w:val="ka-GE"/>
              </w:rPr>
              <w:t>82</w:t>
            </w:r>
          </w:p>
        </w:tc>
        <w:tc>
          <w:tcPr>
            <w:tcW w:w="1080" w:type="dxa"/>
            <w:noWrap/>
            <w:hideMark/>
          </w:tcPr>
          <w:p w14:paraId="79355EDE" w14:textId="77777777" w:rsidR="005C212D" w:rsidRPr="008A2449" w:rsidRDefault="005C212D" w:rsidP="008A2449">
            <w:pPr>
              <w:spacing w:after="160" w:line="259" w:lineRule="auto"/>
              <w:jc w:val="both"/>
              <w:rPr>
                <w:lang w:val="ka-GE"/>
              </w:rPr>
            </w:pPr>
            <w:r w:rsidRPr="008A2449">
              <w:rPr>
                <w:lang w:val="ka-GE"/>
              </w:rPr>
              <w:t>82.91.0</w:t>
            </w:r>
          </w:p>
        </w:tc>
        <w:tc>
          <w:tcPr>
            <w:tcW w:w="7195" w:type="dxa"/>
            <w:noWrap/>
            <w:hideMark/>
          </w:tcPr>
          <w:p w14:paraId="0F856289" w14:textId="77777777" w:rsidR="005C212D" w:rsidRPr="008A2449" w:rsidRDefault="005C212D" w:rsidP="008A2449">
            <w:pPr>
              <w:spacing w:after="160" w:line="259" w:lineRule="auto"/>
              <w:jc w:val="both"/>
              <w:rPr>
                <w:lang w:val="ka-GE"/>
              </w:rPr>
            </w:pPr>
            <w:r w:rsidRPr="008A2449">
              <w:rPr>
                <w:lang w:val="ka-GE"/>
              </w:rPr>
              <w:t>გადასახდელების შემგროვებელი სააგენტოების და საკრედიტო ბიუროების საქმიანობები</w:t>
            </w:r>
          </w:p>
        </w:tc>
      </w:tr>
      <w:tr w:rsidR="005C212D" w:rsidRPr="008A2449" w14:paraId="4C2CF636" w14:textId="77777777" w:rsidTr="00E572CE">
        <w:trPr>
          <w:trHeight w:val="285"/>
        </w:trPr>
        <w:tc>
          <w:tcPr>
            <w:tcW w:w="1075" w:type="dxa"/>
          </w:tcPr>
          <w:p w14:paraId="2F967A2D"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3AD9DB5A" w14:textId="77777777" w:rsidR="005C212D" w:rsidRPr="008A2449" w:rsidRDefault="005C212D" w:rsidP="008A2449">
            <w:pPr>
              <w:spacing w:after="160" w:line="259" w:lineRule="auto"/>
              <w:jc w:val="both"/>
              <w:rPr>
                <w:lang w:val="ka-GE"/>
              </w:rPr>
            </w:pPr>
            <w:r w:rsidRPr="008A2449">
              <w:rPr>
                <w:lang w:val="ka-GE"/>
              </w:rPr>
              <w:t>84.11.1</w:t>
            </w:r>
          </w:p>
        </w:tc>
        <w:tc>
          <w:tcPr>
            <w:tcW w:w="7195" w:type="dxa"/>
            <w:noWrap/>
            <w:hideMark/>
          </w:tcPr>
          <w:p w14:paraId="52C0DEB7" w14:textId="77777777" w:rsidR="005C212D" w:rsidRPr="008A2449" w:rsidRDefault="005C212D" w:rsidP="008A2449">
            <w:pPr>
              <w:spacing w:after="160" w:line="259" w:lineRule="auto"/>
              <w:jc w:val="both"/>
              <w:rPr>
                <w:lang w:val="ka-GE"/>
              </w:rPr>
            </w:pPr>
            <w:r w:rsidRPr="008A2449">
              <w:rPr>
                <w:lang w:val="ka-GE"/>
              </w:rPr>
              <w:t>ცენტრალური და ადგილობრივი ორგანოების აღმასრულებელი და საკანონმდებლო მართვა</w:t>
            </w:r>
          </w:p>
        </w:tc>
      </w:tr>
      <w:tr w:rsidR="005C212D" w:rsidRPr="008A2449" w14:paraId="32482839" w14:textId="77777777" w:rsidTr="00E572CE">
        <w:trPr>
          <w:trHeight w:val="285"/>
        </w:trPr>
        <w:tc>
          <w:tcPr>
            <w:tcW w:w="1075" w:type="dxa"/>
          </w:tcPr>
          <w:p w14:paraId="73EE4663"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170F3CD4" w14:textId="77777777" w:rsidR="005C212D" w:rsidRPr="008A2449" w:rsidRDefault="005C212D" w:rsidP="008A2449">
            <w:pPr>
              <w:spacing w:after="160" w:line="259" w:lineRule="auto"/>
              <w:jc w:val="both"/>
              <w:rPr>
                <w:lang w:val="ka-GE"/>
              </w:rPr>
            </w:pPr>
            <w:r w:rsidRPr="008A2449">
              <w:rPr>
                <w:lang w:val="ka-GE"/>
              </w:rPr>
              <w:t>84.11.2</w:t>
            </w:r>
          </w:p>
        </w:tc>
        <w:tc>
          <w:tcPr>
            <w:tcW w:w="7195" w:type="dxa"/>
            <w:noWrap/>
            <w:hideMark/>
          </w:tcPr>
          <w:p w14:paraId="3E9D440B" w14:textId="77777777" w:rsidR="005C212D" w:rsidRPr="008A2449" w:rsidRDefault="005C212D" w:rsidP="008A2449">
            <w:pPr>
              <w:spacing w:after="160" w:line="259" w:lineRule="auto"/>
              <w:jc w:val="both"/>
              <w:rPr>
                <w:lang w:val="ka-GE"/>
              </w:rPr>
            </w:pPr>
            <w:r w:rsidRPr="008A2449">
              <w:rPr>
                <w:lang w:val="ka-GE"/>
              </w:rPr>
              <w:t>ფინანსური და ფისკალური საქმიანობის მართვა და ზედამხედველობა</w:t>
            </w:r>
          </w:p>
        </w:tc>
      </w:tr>
      <w:tr w:rsidR="005C212D" w:rsidRPr="008A2449" w14:paraId="2C7F5437" w14:textId="77777777" w:rsidTr="00E572CE">
        <w:trPr>
          <w:trHeight w:val="285"/>
        </w:trPr>
        <w:tc>
          <w:tcPr>
            <w:tcW w:w="1075" w:type="dxa"/>
          </w:tcPr>
          <w:p w14:paraId="153BDE76"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34D220D8" w14:textId="77777777" w:rsidR="005C212D" w:rsidRPr="008A2449" w:rsidRDefault="005C212D" w:rsidP="008A2449">
            <w:pPr>
              <w:spacing w:after="160" w:line="259" w:lineRule="auto"/>
              <w:jc w:val="both"/>
              <w:rPr>
                <w:lang w:val="ka-GE"/>
              </w:rPr>
            </w:pPr>
            <w:r w:rsidRPr="008A2449">
              <w:rPr>
                <w:lang w:val="ka-GE"/>
              </w:rPr>
              <w:t>84.11.3</w:t>
            </w:r>
          </w:p>
        </w:tc>
        <w:tc>
          <w:tcPr>
            <w:tcW w:w="7195" w:type="dxa"/>
            <w:noWrap/>
            <w:hideMark/>
          </w:tcPr>
          <w:p w14:paraId="7C42DF59" w14:textId="77777777" w:rsidR="005C212D" w:rsidRPr="008A2449" w:rsidRDefault="005C212D" w:rsidP="008A2449">
            <w:pPr>
              <w:spacing w:after="160" w:line="259" w:lineRule="auto"/>
              <w:jc w:val="both"/>
              <w:rPr>
                <w:lang w:val="ka-GE"/>
              </w:rPr>
            </w:pPr>
            <w:r w:rsidRPr="008A2449">
              <w:rPr>
                <w:lang w:val="ka-GE"/>
              </w:rPr>
              <w:t>ზოგადი ეკონომიკური და სოციალური დაგეგმვის და სტატისტიკის სამსახურების მართვა და ფუნქციონირება</w:t>
            </w:r>
          </w:p>
        </w:tc>
      </w:tr>
      <w:tr w:rsidR="005C212D" w:rsidRPr="008A2449" w14:paraId="2856CB59" w14:textId="77777777" w:rsidTr="00E572CE">
        <w:trPr>
          <w:trHeight w:val="285"/>
        </w:trPr>
        <w:tc>
          <w:tcPr>
            <w:tcW w:w="1075" w:type="dxa"/>
          </w:tcPr>
          <w:p w14:paraId="2BCE97A0"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2F9BA034" w14:textId="77777777" w:rsidR="005C212D" w:rsidRPr="008A2449" w:rsidRDefault="005C212D" w:rsidP="008A2449">
            <w:pPr>
              <w:spacing w:after="160" w:line="259" w:lineRule="auto"/>
              <w:jc w:val="both"/>
              <w:rPr>
                <w:lang w:val="ka-GE"/>
              </w:rPr>
            </w:pPr>
            <w:r w:rsidRPr="008A2449">
              <w:rPr>
                <w:lang w:val="ka-GE"/>
              </w:rPr>
              <w:t>84.11.4</w:t>
            </w:r>
          </w:p>
        </w:tc>
        <w:tc>
          <w:tcPr>
            <w:tcW w:w="7195" w:type="dxa"/>
            <w:noWrap/>
            <w:hideMark/>
          </w:tcPr>
          <w:p w14:paraId="005DC4E2" w14:textId="77777777" w:rsidR="005C212D" w:rsidRPr="008A2449" w:rsidRDefault="005C212D" w:rsidP="008A2449">
            <w:pPr>
              <w:spacing w:after="160" w:line="259" w:lineRule="auto"/>
              <w:jc w:val="both"/>
              <w:rPr>
                <w:lang w:val="ka-GE"/>
              </w:rPr>
            </w:pPr>
            <w:r w:rsidRPr="008A2449">
              <w:rPr>
                <w:lang w:val="ka-GE"/>
              </w:rPr>
              <w:t>სახელმწიფო მმართველობის დამხმარე საქმიანობები</w:t>
            </w:r>
          </w:p>
        </w:tc>
      </w:tr>
      <w:tr w:rsidR="005C212D" w:rsidRPr="008A2449" w14:paraId="085A5AF3" w14:textId="77777777" w:rsidTr="00E572CE">
        <w:trPr>
          <w:trHeight w:val="285"/>
        </w:trPr>
        <w:tc>
          <w:tcPr>
            <w:tcW w:w="1075" w:type="dxa"/>
          </w:tcPr>
          <w:p w14:paraId="24C3E67C"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0A6DDA0C" w14:textId="77777777" w:rsidR="005C212D" w:rsidRPr="008A2449" w:rsidRDefault="005C212D" w:rsidP="008A2449">
            <w:pPr>
              <w:spacing w:after="160" w:line="259" w:lineRule="auto"/>
              <w:jc w:val="both"/>
              <w:rPr>
                <w:lang w:val="ka-GE"/>
              </w:rPr>
            </w:pPr>
            <w:r w:rsidRPr="008A2449">
              <w:rPr>
                <w:lang w:val="ka-GE"/>
              </w:rPr>
              <w:t>84.12.0</w:t>
            </w:r>
          </w:p>
        </w:tc>
        <w:tc>
          <w:tcPr>
            <w:tcW w:w="7195" w:type="dxa"/>
            <w:noWrap/>
            <w:hideMark/>
          </w:tcPr>
          <w:p w14:paraId="3352BE46" w14:textId="77777777" w:rsidR="005C212D" w:rsidRPr="008A2449" w:rsidRDefault="005C212D" w:rsidP="008A2449">
            <w:pPr>
              <w:spacing w:after="160" w:line="259" w:lineRule="auto"/>
              <w:jc w:val="both"/>
              <w:rPr>
                <w:lang w:val="ka-GE"/>
              </w:rPr>
            </w:pPr>
            <w:r w:rsidRPr="008A2449">
              <w:rPr>
                <w:lang w:val="ka-GE"/>
              </w:rPr>
              <w:t>ჯანდაცვის, განათლების, კულტურული მომსახურების და სხვა სოციალური მომსახურების საქმიანობების რეგულირება, სოციალური უსაფრთხოების  გარდა</w:t>
            </w:r>
          </w:p>
        </w:tc>
      </w:tr>
      <w:tr w:rsidR="005C212D" w:rsidRPr="008A2449" w14:paraId="43472297" w14:textId="77777777" w:rsidTr="00E572CE">
        <w:trPr>
          <w:trHeight w:val="285"/>
        </w:trPr>
        <w:tc>
          <w:tcPr>
            <w:tcW w:w="1075" w:type="dxa"/>
          </w:tcPr>
          <w:p w14:paraId="0D5FD5C0"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3097E671" w14:textId="77777777" w:rsidR="005C212D" w:rsidRPr="008A2449" w:rsidRDefault="005C212D" w:rsidP="008A2449">
            <w:pPr>
              <w:spacing w:after="160" w:line="259" w:lineRule="auto"/>
              <w:jc w:val="both"/>
              <w:rPr>
                <w:lang w:val="ka-GE"/>
              </w:rPr>
            </w:pPr>
            <w:r w:rsidRPr="008A2449">
              <w:rPr>
                <w:lang w:val="ka-GE"/>
              </w:rPr>
              <w:t>84.13.0</w:t>
            </w:r>
          </w:p>
        </w:tc>
        <w:tc>
          <w:tcPr>
            <w:tcW w:w="7195" w:type="dxa"/>
            <w:noWrap/>
            <w:hideMark/>
          </w:tcPr>
          <w:p w14:paraId="4E703FA9" w14:textId="77777777" w:rsidR="005C212D" w:rsidRPr="008A2449" w:rsidRDefault="005C212D" w:rsidP="008A2449">
            <w:pPr>
              <w:spacing w:after="160" w:line="259" w:lineRule="auto"/>
              <w:jc w:val="both"/>
              <w:rPr>
                <w:lang w:val="ka-GE"/>
              </w:rPr>
            </w:pPr>
            <w:r w:rsidRPr="008A2449">
              <w:rPr>
                <w:lang w:val="ka-GE"/>
              </w:rPr>
              <w:t>ბიზნესის ეფექტიანობის ხელშეწყობა და რეგულირება</w:t>
            </w:r>
          </w:p>
        </w:tc>
      </w:tr>
      <w:tr w:rsidR="005C212D" w:rsidRPr="008A2449" w14:paraId="424ED129" w14:textId="77777777" w:rsidTr="00E572CE">
        <w:trPr>
          <w:trHeight w:val="285"/>
        </w:trPr>
        <w:tc>
          <w:tcPr>
            <w:tcW w:w="1075" w:type="dxa"/>
          </w:tcPr>
          <w:p w14:paraId="1B06DFC9"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71C3EF31" w14:textId="77777777" w:rsidR="005C212D" w:rsidRPr="008A2449" w:rsidRDefault="005C212D" w:rsidP="008A2449">
            <w:pPr>
              <w:spacing w:after="160" w:line="259" w:lineRule="auto"/>
              <w:jc w:val="both"/>
              <w:rPr>
                <w:lang w:val="ka-GE"/>
              </w:rPr>
            </w:pPr>
            <w:r w:rsidRPr="008A2449">
              <w:rPr>
                <w:lang w:val="ka-GE"/>
              </w:rPr>
              <w:t>84.21.0</w:t>
            </w:r>
          </w:p>
        </w:tc>
        <w:tc>
          <w:tcPr>
            <w:tcW w:w="7195" w:type="dxa"/>
            <w:noWrap/>
            <w:hideMark/>
          </w:tcPr>
          <w:p w14:paraId="04BC2E74" w14:textId="77777777" w:rsidR="005C212D" w:rsidRPr="008A2449" w:rsidRDefault="005C212D" w:rsidP="008A2449">
            <w:pPr>
              <w:spacing w:after="160" w:line="259" w:lineRule="auto"/>
              <w:jc w:val="both"/>
              <w:rPr>
                <w:lang w:val="ka-GE"/>
              </w:rPr>
            </w:pPr>
            <w:r w:rsidRPr="008A2449">
              <w:rPr>
                <w:lang w:val="ka-GE"/>
              </w:rPr>
              <w:t>საგარეო საქმიანობა</w:t>
            </w:r>
          </w:p>
        </w:tc>
      </w:tr>
      <w:tr w:rsidR="005C212D" w:rsidRPr="008A2449" w14:paraId="73D35E25" w14:textId="77777777" w:rsidTr="00E572CE">
        <w:trPr>
          <w:trHeight w:val="285"/>
        </w:trPr>
        <w:tc>
          <w:tcPr>
            <w:tcW w:w="1075" w:type="dxa"/>
          </w:tcPr>
          <w:p w14:paraId="64BAF480"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7342ADD6" w14:textId="77777777" w:rsidR="005C212D" w:rsidRPr="008A2449" w:rsidRDefault="005C212D" w:rsidP="008A2449">
            <w:pPr>
              <w:spacing w:after="160" w:line="259" w:lineRule="auto"/>
              <w:jc w:val="both"/>
              <w:rPr>
                <w:lang w:val="ka-GE"/>
              </w:rPr>
            </w:pPr>
            <w:r w:rsidRPr="008A2449">
              <w:rPr>
                <w:lang w:val="ka-GE"/>
              </w:rPr>
              <w:t>84.22.0</w:t>
            </w:r>
          </w:p>
        </w:tc>
        <w:tc>
          <w:tcPr>
            <w:tcW w:w="7195" w:type="dxa"/>
            <w:noWrap/>
            <w:hideMark/>
          </w:tcPr>
          <w:p w14:paraId="6013D4B0" w14:textId="77777777" w:rsidR="005C212D" w:rsidRPr="008A2449" w:rsidRDefault="005C212D" w:rsidP="008A2449">
            <w:pPr>
              <w:spacing w:after="160" w:line="259" w:lineRule="auto"/>
              <w:jc w:val="both"/>
              <w:rPr>
                <w:lang w:val="ka-GE"/>
              </w:rPr>
            </w:pPr>
            <w:r w:rsidRPr="008A2449">
              <w:rPr>
                <w:lang w:val="ka-GE"/>
              </w:rPr>
              <w:t>თავდაცვის საქმიანობები</w:t>
            </w:r>
          </w:p>
        </w:tc>
      </w:tr>
      <w:tr w:rsidR="005C212D" w:rsidRPr="008A2449" w14:paraId="7DFD1259" w14:textId="77777777" w:rsidTr="00E572CE">
        <w:trPr>
          <w:trHeight w:val="285"/>
        </w:trPr>
        <w:tc>
          <w:tcPr>
            <w:tcW w:w="1075" w:type="dxa"/>
          </w:tcPr>
          <w:p w14:paraId="0ECF9519"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4C97AA09" w14:textId="77777777" w:rsidR="005C212D" w:rsidRPr="008A2449" w:rsidRDefault="005C212D" w:rsidP="008A2449">
            <w:pPr>
              <w:spacing w:after="160" w:line="259" w:lineRule="auto"/>
              <w:jc w:val="both"/>
              <w:rPr>
                <w:lang w:val="ka-GE"/>
              </w:rPr>
            </w:pPr>
            <w:r w:rsidRPr="008A2449">
              <w:rPr>
                <w:lang w:val="ka-GE"/>
              </w:rPr>
              <w:t>84.23.0</w:t>
            </w:r>
          </w:p>
        </w:tc>
        <w:tc>
          <w:tcPr>
            <w:tcW w:w="7195" w:type="dxa"/>
            <w:noWrap/>
            <w:hideMark/>
          </w:tcPr>
          <w:p w14:paraId="7162FFD2" w14:textId="77777777" w:rsidR="005C212D" w:rsidRPr="008A2449" w:rsidRDefault="005C212D" w:rsidP="008A2449">
            <w:pPr>
              <w:spacing w:after="160" w:line="259" w:lineRule="auto"/>
              <w:jc w:val="both"/>
              <w:rPr>
                <w:lang w:val="ka-GE"/>
              </w:rPr>
            </w:pPr>
            <w:r w:rsidRPr="008A2449">
              <w:rPr>
                <w:lang w:val="ka-GE"/>
              </w:rPr>
              <w:t>იუსტიციის და სასამართლოების საქმიანობები</w:t>
            </w:r>
          </w:p>
        </w:tc>
      </w:tr>
      <w:tr w:rsidR="005C212D" w:rsidRPr="008A2449" w14:paraId="19B66984" w14:textId="77777777" w:rsidTr="00E572CE">
        <w:trPr>
          <w:trHeight w:val="285"/>
        </w:trPr>
        <w:tc>
          <w:tcPr>
            <w:tcW w:w="1075" w:type="dxa"/>
          </w:tcPr>
          <w:p w14:paraId="70B5D24C"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0A519218" w14:textId="77777777" w:rsidR="005C212D" w:rsidRPr="008A2449" w:rsidRDefault="005C212D" w:rsidP="008A2449">
            <w:pPr>
              <w:spacing w:after="160" w:line="259" w:lineRule="auto"/>
              <w:jc w:val="both"/>
              <w:rPr>
                <w:lang w:val="ka-GE"/>
              </w:rPr>
            </w:pPr>
            <w:r w:rsidRPr="008A2449">
              <w:rPr>
                <w:lang w:val="ka-GE"/>
              </w:rPr>
              <w:t>84.24.0</w:t>
            </w:r>
          </w:p>
        </w:tc>
        <w:tc>
          <w:tcPr>
            <w:tcW w:w="7195" w:type="dxa"/>
            <w:noWrap/>
            <w:hideMark/>
          </w:tcPr>
          <w:p w14:paraId="765E4628" w14:textId="77777777" w:rsidR="005C212D" w:rsidRPr="008A2449" w:rsidRDefault="005C212D" w:rsidP="008A2449">
            <w:pPr>
              <w:spacing w:after="160" w:line="259" w:lineRule="auto"/>
              <w:jc w:val="both"/>
              <w:rPr>
                <w:lang w:val="ka-GE"/>
              </w:rPr>
            </w:pPr>
            <w:r w:rsidRPr="008A2449">
              <w:rPr>
                <w:lang w:val="ka-GE"/>
              </w:rPr>
              <w:t>საზოგადოებრივი წესრიგის და უსაფრთხოების უზრუნველყოფის საქმიანობები</w:t>
            </w:r>
          </w:p>
        </w:tc>
      </w:tr>
      <w:tr w:rsidR="005C212D" w:rsidRPr="008A2449" w14:paraId="7C7E8B63" w14:textId="77777777" w:rsidTr="00E572CE">
        <w:trPr>
          <w:trHeight w:val="285"/>
        </w:trPr>
        <w:tc>
          <w:tcPr>
            <w:tcW w:w="1075" w:type="dxa"/>
          </w:tcPr>
          <w:p w14:paraId="05FA9F89"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7AC6EF2E" w14:textId="77777777" w:rsidR="005C212D" w:rsidRPr="008A2449" w:rsidRDefault="005C212D" w:rsidP="008A2449">
            <w:pPr>
              <w:spacing w:after="160" w:line="259" w:lineRule="auto"/>
              <w:jc w:val="both"/>
              <w:rPr>
                <w:lang w:val="ka-GE"/>
              </w:rPr>
            </w:pPr>
            <w:r w:rsidRPr="008A2449">
              <w:rPr>
                <w:lang w:val="ka-GE"/>
              </w:rPr>
              <w:t>84.25.0</w:t>
            </w:r>
          </w:p>
        </w:tc>
        <w:tc>
          <w:tcPr>
            <w:tcW w:w="7195" w:type="dxa"/>
            <w:noWrap/>
            <w:hideMark/>
          </w:tcPr>
          <w:p w14:paraId="3CD2C28E" w14:textId="77777777" w:rsidR="005C212D" w:rsidRPr="008A2449" w:rsidRDefault="005C212D" w:rsidP="008A2449">
            <w:pPr>
              <w:spacing w:after="160" w:line="259" w:lineRule="auto"/>
              <w:jc w:val="both"/>
              <w:rPr>
                <w:lang w:val="ka-GE"/>
              </w:rPr>
            </w:pPr>
            <w:r w:rsidRPr="008A2449">
              <w:rPr>
                <w:lang w:val="ka-GE"/>
              </w:rPr>
              <w:t>სახანძრო მომსახურების საქმიანობები</w:t>
            </w:r>
          </w:p>
        </w:tc>
      </w:tr>
      <w:tr w:rsidR="005C212D" w:rsidRPr="008A2449" w14:paraId="05E604E0" w14:textId="77777777" w:rsidTr="00E572CE">
        <w:trPr>
          <w:trHeight w:val="285"/>
        </w:trPr>
        <w:tc>
          <w:tcPr>
            <w:tcW w:w="1075" w:type="dxa"/>
          </w:tcPr>
          <w:p w14:paraId="1DB651F3" w14:textId="77777777" w:rsidR="005C212D" w:rsidRPr="008A2449" w:rsidRDefault="005C212D" w:rsidP="008A2449">
            <w:pPr>
              <w:spacing w:after="160" w:line="259" w:lineRule="auto"/>
              <w:jc w:val="both"/>
              <w:rPr>
                <w:lang w:val="ka-GE"/>
              </w:rPr>
            </w:pPr>
            <w:r w:rsidRPr="008A2449">
              <w:rPr>
                <w:lang w:val="ka-GE"/>
              </w:rPr>
              <w:t>84</w:t>
            </w:r>
          </w:p>
        </w:tc>
        <w:tc>
          <w:tcPr>
            <w:tcW w:w="1080" w:type="dxa"/>
            <w:noWrap/>
            <w:hideMark/>
          </w:tcPr>
          <w:p w14:paraId="767289DA" w14:textId="77777777" w:rsidR="005C212D" w:rsidRPr="008A2449" w:rsidRDefault="005C212D" w:rsidP="008A2449">
            <w:pPr>
              <w:spacing w:after="160" w:line="259" w:lineRule="auto"/>
              <w:jc w:val="both"/>
              <w:rPr>
                <w:lang w:val="ka-GE"/>
              </w:rPr>
            </w:pPr>
            <w:r w:rsidRPr="008A2449">
              <w:rPr>
                <w:lang w:val="ka-GE"/>
              </w:rPr>
              <w:t>84.30.0</w:t>
            </w:r>
          </w:p>
        </w:tc>
        <w:tc>
          <w:tcPr>
            <w:tcW w:w="7195" w:type="dxa"/>
            <w:noWrap/>
            <w:hideMark/>
          </w:tcPr>
          <w:p w14:paraId="231F6157" w14:textId="77777777" w:rsidR="005C212D" w:rsidRPr="008A2449" w:rsidRDefault="005C212D" w:rsidP="008A2449">
            <w:pPr>
              <w:spacing w:after="160" w:line="259" w:lineRule="auto"/>
              <w:jc w:val="both"/>
              <w:rPr>
                <w:lang w:val="ka-GE"/>
              </w:rPr>
            </w:pPr>
            <w:r w:rsidRPr="008A2449">
              <w:rPr>
                <w:lang w:val="ka-GE"/>
              </w:rPr>
              <w:t>სავალდებულო სოციალური უსაფრთხოების საქმიანობები</w:t>
            </w:r>
          </w:p>
        </w:tc>
      </w:tr>
      <w:tr w:rsidR="005C212D" w:rsidRPr="008A2449" w14:paraId="784D11FA" w14:textId="77777777" w:rsidTr="00E572CE">
        <w:trPr>
          <w:trHeight w:val="285"/>
        </w:trPr>
        <w:tc>
          <w:tcPr>
            <w:tcW w:w="1075" w:type="dxa"/>
          </w:tcPr>
          <w:p w14:paraId="6455B6AD" w14:textId="77777777" w:rsidR="005C212D" w:rsidRPr="008A2449" w:rsidRDefault="005C212D" w:rsidP="008A2449">
            <w:pPr>
              <w:spacing w:after="160" w:line="259" w:lineRule="auto"/>
              <w:jc w:val="both"/>
              <w:rPr>
                <w:lang w:val="ka-GE"/>
              </w:rPr>
            </w:pPr>
            <w:r w:rsidRPr="008A2449">
              <w:rPr>
                <w:lang w:val="ka-GE"/>
              </w:rPr>
              <w:t>94</w:t>
            </w:r>
          </w:p>
        </w:tc>
        <w:tc>
          <w:tcPr>
            <w:tcW w:w="1080" w:type="dxa"/>
            <w:noWrap/>
            <w:hideMark/>
          </w:tcPr>
          <w:p w14:paraId="474DF89E" w14:textId="77777777" w:rsidR="005C212D" w:rsidRPr="008A2449" w:rsidRDefault="005C212D" w:rsidP="008A2449">
            <w:pPr>
              <w:spacing w:after="160" w:line="259" w:lineRule="auto"/>
              <w:jc w:val="both"/>
              <w:rPr>
                <w:lang w:val="ka-GE"/>
              </w:rPr>
            </w:pPr>
            <w:r w:rsidRPr="008A2449">
              <w:rPr>
                <w:lang w:val="ka-GE"/>
              </w:rPr>
              <w:t>94.11.0</w:t>
            </w:r>
          </w:p>
        </w:tc>
        <w:tc>
          <w:tcPr>
            <w:tcW w:w="7195" w:type="dxa"/>
            <w:noWrap/>
            <w:hideMark/>
          </w:tcPr>
          <w:p w14:paraId="1547A336" w14:textId="77777777" w:rsidR="005C212D" w:rsidRPr="008A2449" w:rsidRDefault="005C212D" w:rsidP="008A2449">
            <w:pPr>
              <w:spacing w:after="160" w:line="259" w:lineRule="auto"/>
              <w:jc w:val="both"/>
              <w:rPr>
                <w:lang w:val="ka-GE"/>
              </w:rPr>
            </w:pPr>
            <w:r w:rsidRPr="008A2449">
              <w:rPr>
                <w:lang w:val="ka-GE"/>
              </w:rPr>
              <w:t>ბიზნესის და დამსაქმებელთა საწევრო ორგანიზაციების საქმიანობები</w:t>
            </w:r>
          </w:p>
        </w:tc>
      </w:tr>
      <w:tr w:rsidR="005C212D" w:rsidRPr="008A2449" w14:paraId="3BC9DA73" w14:textId="77777777" w:rsidTr="00E572CE">
        <w:trPr>
          <w:trHeight w:val="285"/>
        </w:trPr>
        <w:tc>
          <w:tcPr>
            <w:tcW w:w="1075" w:type="dxa"/>
          </w:tcPr>
          <w:p w14:paraId="3FB788F9" w14:textId="77777777" w:rsidR="005C212D" w:rsidRPr="008A2449" w:rsidRDefault="005C212D" w:rsidP="008A2449">
            <w:pPr>
              <w:spacing w:after="160" w:line="259" w:lineRule="auto"/>
              <w:jc w:val="both"/>
              <w:rPr>
                <w:lang w:val="ka-GE"/>
              </w:rPr>
            </w:pPr>
            <w:r w:rsidRPr="008A2449">
              <w:rPr>
                <w:lang w:val="ka-GE"/>
              </w:rPr>
              <w:t>94</w:t>
            </w:r>
          </w:p>
        </w:tc>
        <w:tc>
          <w:tcPr>
            <w:tcW w:w="1080" w:type="dxa"/>
            <w:noWrap/>
            <w:hideMark/>
          </w:tcPr>
          <w:p w14:paraId="7F0E9AAF" w14:textId="77777777" w:rsidR="005C212D" w:rsidRPr="008A2449" w:rsidRDefault="005C212D" w:rsidP="008A2449">
            <w:pPr>
              <w:spacing w:after="160" w:line="259" w:lineRule="auto"/>
              <w:jc w:val="both"/>
              <w:rPr>
                <w:lang w:val="ka-GE"/>
              </w:rPr>
            </w:pPr>
            <w:r w:rsidRPr="008A2449">
              <w:rPr>
                <w:lang w:val="ka-GE"/>
              </w:rPr>
              <w:t>94.12.0</w:t>
            </w:r>
          </w:p>
        </w:tc>
        <w:tc>
          <w:tcPr>
            <w:tcW w:w="7195" w:type="dxa"/>
            <w:noWrap/>
            <w:hideMark/>
          </w:tcPr>
          <w:p w14:paraId="6E5130CB" w14:textId="77777777" w:rsidR="005C212D" w:rsidRPr="008A2449" w:rsidRDefault="005C212D" w:rsidP="008A2449">
            <w:pPr>
              <w:spacing w:after="160" w:line="259" w:lineRule="auto"/>
              <w:jc w:val="both"/>
              <w:rPr>
                <w:lang w:val="ka-GE"/>
              </w:rPr>
            </w:pPr>
            <w:r w:rsidRPr="008A2449">
              <w:rPr>
                <w:lang w:val="ka-GE"/>
              </w:rPr>
              <w:t>პროფესიული საწევრო ორგანიზაციების საქმიანობები</w:t>
            </w:r>
          </w:p>
        </w:tc>
      </w:tr>
      <w:tr w:rsidR="005C212D" w:rsidRPr="008A2449" w14:paraId="663B21E8" w14:textId="77777777" w:rsidTr="00E572CE">
        <w:trPr>
          <w:trHeight w:val="285"/>
        </w:trPr>
        <w:tc>
          <w:tcPr>
            <w:tcW w:w="1075" w:type="dxa"/>
          </w:tcPr>
          <w:p w14:paraId="49CE4D9C" w14:textId="77777777" w:rsidR="005C212D" w:rsidRPr="008A2449" w:rsidRDefault="005C212D" w:rsidP="008A2449">
            <w:pPr>
              <w:spacing w:after="160" w:line="259" w:lineRule="auto"/>
              <w:jc w:val="both"/>
              <w:rPr>
                <w:lang w:val="ka-GE"/>
              </w:rPr>
            </w:pPr>
            <w:r w:rsidRPr="008A2449">
              <w:rPr>
                <w:lang w:val="ka-GE"/>
              </w:rPr>
              <w:t>94</w:t>
            </w:r>
          </w:p>
        </w:tc>
        <w:tc>
          <w:tcPr>
            <w:tcW w:w="1080" w:type="dxa"/>
            <w:noWrap/>
            <w:hideMark/>
          </w:tcPr>
          <w:p w14:paraId="0A843FBA" w14:textId="77777777" w:rsidR="005C212D" w:rsidRPr="008A2449" w:rsidRDefault="005C212D" w:rsidP="008A2449">
            <w:pPr>
              <w:spacing w:after="160" w:line="259" w:lineRule="auto"/>
              <w:jc w:val="both"/>
              <w:rPr>
                <w:lang w:val="ka-GE"/>
              </w:rPr>
            </w:pPr>
            <w:r w:rsidRPr="008A2449">
              <w:rPr>
                <w:lang w:val="ka-GE"/>
              </w:rPr>
              <w:t>94.20.0</w:t>
            </w:r>
          </w:p>
        </w:tc>
        <w:tc>
          <w:tcPr>
            <w:tcW w:w="7195" w:type="dxa"/>
            <w:noWrap/>
            <w:hideMark/>
          </w:tcPr>
          <w:p w14:paraId="0E8D852F" w14:textId="77777777" w:rsidR="005C212D" w:rsidRPr="008A2449" w:rsidRDefault="005C212D" w:rsidP="008A2449">
            <w:pPr>
              <w:spacing w:after="160" w:line="259" w:lineRule="auto"/>
              <w:jc w:val="both"/>
              <w:rPr>
                <w:lang w:val="ka-GE"/>
              </w:rPr>
            </w:pPr>
            <w:r w:rsidRPr="008A2449">
              <w:rPr>
                <w:lang w:val="ka-GE"/>
              </w:rPr>
              <w:t>პროფესიული კავშირების საქმიანობები</w:t>
            </w:r>
          </w:p>
        </w:tc>
      </w:tr>
      <w:tr w:rsidR="005C212D" w:rsidRPr="008A2449" w14:paraId="21DBD938" w14:textId="77777777" w:rsidTr="00E572CE">
        <w:trPr>
          <w:trHeight w:val="285"/>
        </w:trPr>
        <w:tc>
          <w:tcPr>
            <w:tcW w:w="1075" w:type="dxa"/>
          </w:tcPr>
          <w:p w14:paraId="0590A637" w14:textId="77777777" w:rsidR="005C212D" w:rsidRPr="008A2449" w:rsidRDefault="005C212D" w:rsidP="008A2449">
            <w:pPr>
              <w:spacing w:after="160" w:line="259" w:lineRule="auto"/>
              <w:jc w:val="both"/>
              <w:rPr>
                <w:lang w:val="ka-GE"/>
              </w:rPr>
            </w:pPr>
            <w:r w:rsidRPr="008A2449">
              <w:rPr>
                <w:lang w:val="ka-GE"/>
              </w:rPr>
              <w:t>94</w:t>
            </w:r>
          </w:p>
        </w:tc>
        <w:tc>
          <w:tcPr>
            <w:tcW w:w="1080" w:type="dxa"/>
            <w:noWrap/>
            <w:hideMark/>
          </w:tcPr>
          <w:p w14:paraId="194532CC" w14:textId="77777777" w:rsidR="005C212D" w:rsidRPr="008A2449" w:rsidRDefault="005C212D" w:rsidP="008A2449">
            <w:pPr>
              <w:spacing w:after="160" w:line="259" w:lineRule="auto"/>
              <w:jc w:val="both"/>
              <w:rPr>
                <w:lang w:val="ka-GE"/>
              </w:rPr>
            </w:pPr>
            <w:r w:rsidRPr="008A2449">
              <w:rPr>
                <w:lang w:val="ka-GE"/>
              </w:rPr>
              <w:t>94.99.0</w:t>
            </w:r>
          </w:p>
        </w:tc>
        <w:tc>
          <w:tcPr>
            <w:tcW w:w="7195" w:type="dxa"/>
            <w:noWrap/>
            <w:hideMark/>
          </w:tcPr>
          <w:p w14:paraId="0EBA7309" w14:textId="77777777" w:rsidR="005C212D" w:rsidRPr="008A2449" w:rsidRDefault="005C212D" w:rsidP="008A2449">
            <w:pPr>
              <w:spacing w:after="160" w:line="259" w:lineRule="auto"/>
              <w:jc w:val="both"/>
              <w:rPr>
                <w:lang w:val="ka-GE"/>
              </w:rPr>
            </w:pPr>
            <w:r w:rsidRPr="008A2449">
              <w:rPr>
                <w:lang w:val="ka-GE"/>
              </w:rPr>
              <w:t>სხვა საწევრო ორგანიზაციების საქმიანობები, სხვა დაჯგუფებებში ჩაურთველი</w:t>
            </w:r>
          </w:p>
        </w:tc>
      </w:tr>
      <w:tr w:rsidR="005C212D" w:rsidRPr="008A2449" w14:paraId="5A3B7091" w14:textId="77777777" w:rsidTr="00E572CE">
        <w:trPr>
          <w:trHeight w:val="285"/>
        </w:trPr>
        <w:tc>
          <w:tcPr>
            <w:tcW w:w="1075" w:type="dxa"/>
          </w:tcPr>
          <w:p w14:paraId="0A28EE9F" w14:textId="77777777" w:rsidR="005C212D" w:rsidRPr="008A2449" w:rsidRDefault="005C212D" w:rsidP="008A2449">
            <w:pPr>
              <w:spacing w:after="160" w:line="259" w:lineRule="auto"/>
              <w:jc w:val="both"/>
              <w:rPr>
                <w:lang w:val="ka-GE"/>
              </w:rPr>
            </w:pPr>
            <w:r w:rsidRPr="008A2449">
              <w:rPr>
                <w:lang w:val="ka-GE"/>
              </w:rPr>
              <w:t>99</w:t>
            </w:r>
          </w:p>
        </w:tc>
        <w:tc>
          <w:tcPr>
            <w:tcW w:w="1080" w:type="dxa"/>
            <w:noWrap/>
            <w:hideMark/>
          </w:tcPr>
          <w:p w14:paraId="5F5702DB" w14:textId="77777777" w:rsidR="005C212D" w:rsidRPr="008A2449" w:rsidRDefault="005C212D" w:rsidP="008A2449">
            <w:pPr>
              <w:spacing w:after="160" w:line="259" w:lineRule="auto"/>
              <w:jc w:val="both"/>
              <w:rPr>
                <w:lang w:val="ka-GE"/>
              </w:rPr>
            </w:pPr>
            <w:r w:rsidRPr="008A2449">
              <w:rPr>
                <w:lang w:val="ka-GE"/>
              </w:rPr>
              <w:t>99.00.0</w:t>
            </w:r>
          </w:p>
        </w:tc>
        <w:tc>
          <w:tcPr>
            <w:tcW w:w="7195" w:type="dxa"/>
            <w:noWrap/>
            <w:hideMark/>
          </w:tcPr>
          <w:p w14:paraId="28157522" w14:textId="77777777" w:rsidR="005C212D" w:rsidRPr="008A2449" w:rsidRDefault="005C212D" w:rsidP="008A2449">
            <w:pPr>
              <w:spacing w:after="160" w:line="259" w:lineRule="auto"/>
              <w:jc w:val="both"/>
              <w:rPr>
                <w:lang w:val="ka-GE"/>
              </w:rPr>
            </w:pPr>
            <w:r w:rsidRPr="008A2449">
              <w:rPr>
                <w:lang w:val="ka-GE"/>
              </w:rPr>
              <w:t>ექსტერიტორიული ორგანიზაციების და ორგანოების საქმიანობები</w:t>
            </w:r>
          </w:p>
        </w:tc>
      </w:tr>
    </w:tbl>
    <w:p w14:paraId="355A5500" w14:textId="77777777" w:rsidR="005C212D" w:rsidRPr="008A2449" w:rsidRDefault="005C212D" w:rsidP="008A2449">
      <w:pPr>
        <w:jc w:val="both"/>
        <w:rPr>
          <w:lang w:val="ka-GE"/>
        </w:rPr>
      </w:pPr>
    </w:p>
    <w:p w14:paraId="657BB12C" w14:textId="77777777" w:rsidR="005C212D" w:rsidRPr="008A2449" w:rsidRDefault="005C212D" w:rsidP="008A2449">
      <w:pPr>
        <w:jc w:val="both"/>
        <w:rPr>
          <w:lang w:val="ka-GE"/>
        </w:rPr>
      </w:pPr>
      <w:r w:rsidRPr="008A2449">
        <w:rPr>
          <w:lang w:val="ka-GE"/>
        </w:rPr>
        <w:t xml:space="preserve">ბ) მისი ეკონომიკური საქმიანობა არ მოიცავს: </w:t>
      </w:r>
    </w:p>
    <w:p w14:paraId="5548CC76" w14:textId="77777777" w:rsidR="005C212D" w:rsidRPr="008A2449" w:rsidRDefault="005C212D" w:rsidP="008A2449">
      <w:pPr>
        <w:jc w:val="both"/>
        <w:rPr>
          <w:lang w:val="ka-GE"/>
        </w:rPr>
      </w:pPr>
      <w:r w:rsidRPr="008A2449">
        <w:rPr>
          <w:lang w:val="ka-GE"/>
        </w:rPr>
        <w:t xml:space="preserve">1. რელიგიურ, პოლიტიკურ, საომარი და სხვა მსგავს აქტივობებს; </w:t>
      </w:r>
    </w:p>
    <w:p w14:paraId="64D89EC9" w14:textId="6685B51E" w:rsidR="005C212D" w:rsidRPr="008A2449" w:rsidRDefault="005C212D" w:rsidP="008A2449">
      <w:pPr>
        <w:jc w:val="both"/>
        <w:rPr>
          <w:lang w:val="ka-GE"/>
        </w:rPr>
      </w:pPr>
      <w:r w:rsidRPr="008A2449">
        <w:rPr>
          <w:lang w:val="ka-GE"/>
        </w:rPr>
        <w:lastRenderedPageBreak/>
        <w:t xml:space="preserve">2. ნებისმიერი პროდუქტის ან აქტივობის წარმოებას ან ვაჭრობას, რომელიც მიჩნეულია არალეგალურად ქვეყნის კანონმდებლობით ან რეგულაციებით ან საერთაშორისო კონვენციებითა და შეთანხმებებით, ან ექვემდებარება საერთაშორისო აკრძალვებს, როგორებიცაა:                                                                                                                                                                                                   - </w:t>
      </w:r>
      <w:r w:rsidR="008A2449">
        <w:t xml:space="preserve">- </w:t>
      </w:r>
      <w:r w:rsidRPr="008A2449">
        <w:rPr>
          <w:lang w:val="ka-GE"/>
        </w:rPr>
        <w:t xml:space="preserve">ოზონის დამშლელი/გამანადგურებელი ნივთიერებები;                                                                                          - </w:t>
      </w:r>
      <w:r w:rsidR="008A2449">
        <w:t xml:space="preserve">- </w:t>
      </w:r>
      <w:r w:rsidRPr="008A2449">
        <w:rPr>
          <w:lang w:val="ka-GE"/>
        </w:rPr>
        <w:t xml:space="preserve">პოლიკლორირებული ბიფენილი;                                                                                                                                             - </w:t>
      </w:r>
      <w:r w:rsidR="008A2449">
        <w:t xml:space="preserve">- </w:t>
      </w:r>
      <w:r w:rsidRPr="008A2449">
        <w:rPr>
          <w:lang w:val="ka-GE"/>
        </w:rPr>
        <w:t xml:space="preserve">გარეული ჯიშის ცხოველები;                                                                                                                                                                    - </w:t>
      </w:r>
      <w:r w:rsidR="008A2449">
        <w:t xml:space="preserve">- </w:t>
      </w:r>
      <w:r w:rsidRPr="008A2449">
        <w:rPr>
          <w:lang w:val="ka-GE"/>
        </w:rPr>
        <w:t>„გადაშენების პირას მყოფი სახეობებით საერთაშორისო ვაჭრობის შესახებ კონვენციით“ (CITES) რეგულირებული სახეობები;</w:t>
      </w:r>
    </w:p>
    <w:p w14:paraId="65506FA4" w14:textId="77777777" w:rsidR="005C212D" w:rsidRPr="008A2449" w:rsidRDefault="005C212D" w:rsidP="008A2449">
      <w:pPr>
        <w:jc w:val="both"/>
        <w:rPr>
          <w:lang w:val="ka-GE"/>
        </w:rPr>
      </w:pPr>
      <w:r w:rsidRPr="008A2449">
        <w:rPr>
          <w:lang w:val="ka-GE"/>
        </w:rPr>
        <w:t xml:space="preserve">3. ზრდასრულთა გასართობი საშუალებების წარმოებას ან/და ვაჭრობას (ე. წ. </w:t>
      </w:r>
      <w:r w:rsidRPr="008A2449">
        <w:t xml:space="preserve">„Production or trade-in adult entertainment“); </w:t>
      </w:r>
    </w:p>
    <w:p w14:paraId="59D7D2A0" w14:textId="77777777" w:rsidR="005C212D" w:rsidRPr="008A2449" w:rsidRDefault="005C212D" w:rsidP="008A2449">
      <w:pPr>
        <w:jc w:val="both"/>
        <w:rPr>
          <w:lang w:val="ka-GE"/>
        </w:rPr>
      </w:pPr>
      <w:r w:rsidRPr="008A2449">
        <w:rPr>
          <w:lang w:val="ka-GE"/>
        </w:rPr>
        <w:t xml:space="preserve">4. იარაღისა და საბრძოლო მასალების წარმოებას ან/და ვაჭრობას; </w:t>
      </w:r>
    </w:p>
    <w:p w14:paraId="47B81B1E" w14:textId="77777777" w:rsidR="005C212D" w:rsidRPr="008A2449" w:rsidRDefault="005C212D" w:rsidP="008A2449">
      <w:pPr>
        <w:jc w:val="both"/>
        <w:rPr>
          <w:lang w:val="ka-GE"/>
        </w:rPr>
      </w:pPr>
      <w:r w:rsidRPr="008A2449">
        <w:rPr>
          <w:lang w:val="ka-GE"/>
        </w:rPr>
        <w:t xml:space="preserve">5. ალკოჰოლური სასმელების წარმოება ან/და ვაჭრობა (ლუდის, ყურძნის ღვინის, სიდრისა და სხვა ხილის ღვინოების გარდა); </w:t>
      </w:r>
    </w:p>
    <w:p w14:paraId="7CF52350" w14:textId="77777777" w:rsidR="005C212D" w:rsidRPr="008A2449" w:rsidRDefault="005C212D" w:rsidP="008A2449">
      <w:pPr>
        <w:jc w:val="both"/>
        <w:rPr>
          <w:lang w:val="ka-GE"/>
        </w:rPr>
      </w:pPr>
      <w:r w:rsidRPr="008A2449">
        <w:rPr>
          <w:lang w:val="ka-GE"/>
        </w:rPr>
        <w:t xml:space="preserve">6. თამბაქოს წარმოებას ან/და ვაჭრობას; </w:t>
      </w:r>
    </w:p>
    <w:p w14:paraId="6358B6F6" w14:textId="77777777" w:rsidR="005C212D" w:rsidRPr="008A2449" w:rsidRDefault="005C212D" w:rsidP="008A2449">
      <w:pPr>
        <w:jc w:val="both"/>
        <w:rPr>
          <w:lang w:val="ka-GE"/>
        </w:rPr>
      </w:pPr>
      <w:r w:rsidRPr="008A2449">
        <w:rPr>
          <w:lang w:val="ka-GE"/>
        </w:rPr>
        <w:t xml:space="preserve">7. აზარტული თამაშების, კაზინოებისა და ეკვივალენტური კომპანიების საქმიანობებს; </w:t>
      </w:r>
    </w:p>
    <w:p w14:paraId="5D6FE1CB" w14:textId="77777777" w:rsidR="005C212D" w:rsidRPr="008A2449" w:rsidRDefault="005C212D" w:rsidP="008A2449">
      <w:pPr>
        <w:jc w:val="both"/>
        <w:rPr>
          <w:lang w:val="ka-GE"/>
        </w:rPr>
      </w:pPr>
      <w:r w:rsidRPr="008A2449">
        <w:rPr>
          <w:lang w:val="ka-GE"/>
        </w:rPr>
        <w:t xml:space="preserve">8. რადიოაქტიური მასალების წარმოებას ან/და ვაჭრობა (ეს არ ეხება სამედიცინო აღჭურვილობის, ხარისხის კონტროლის (გაზომვის) აღჭურვილობისა და ნებისმიერი აღჭურვილობის შეძენას, სადაც რადიოაქტიური წყარო უმნიშვნელოა ან/და ადეკვატურად დაცული; </w:t>
      </w:r>
    </w:p>
    <w:p w14:paraId="28360E33" w14:textId="77777777" w:rsidR="005C212D" w:rsidRPr="008A2449" w:rsidRDefault="005C212D" w:rsidP="008A2449">
      <w:pPr>
        <w:jc w:val="both"/>
        <w:rPr>
          <w:lang w:val="ka-GE"/>
        </w:rPr>
      </w:pPr>
      <w:r w:rsidRPr="008A2449">
        <w:rPr>
          <w:lang w:val="ka-GE"/>
        </w:rPr>
        <w:t xml:space="preserve">9. შეუერთებელი/შეუკვრელი აზბესტის ბოჭკოების წარმოებას ან/და ვაჭრობას (აღნიშნული არ ვრცელდება შეკრული აზბესტის ცემენტის ფურცლის შეძენასა და გამოყენებაზე, სადაც აზბესტის შემცველობა 20%-ზე ნაკლებია); </w:t>
      </w:r>
    </w:p>
    <w:p w14:paraId="3CCB921E" w14:textId="77777777" w:rsidR="005C212D" w:rsidRPr="008A2449" w:rsidRDefault="005C212D" w:rsidP="008A2449">
      <w:pPr>
        <w:jc w:val="both"/>
        <w:rPr>
          <w:lang w:val="ka-GE"/>
        </w:rPr>
      </w:pPr>
      <w:r w:rsidRPr="008A2449">
        <w:rPr>
          <w:lang w:val="ka-GE"/>
        </w:rPr>
        <w:t xml:space="preserve">10. საზღვაო გარემოში 2,5 კმ-ზე მეტი სიგრძის ბადის გამოყენებით თევზაობას; </w:t>
      </w:r>
    </w:p>
    <w:p w14:paraId="68B16FB3" w14:textId="77777777" w:rsidR="005C212D" w:rsidRPr="008A2449" w:rsidRDefault="005C212D" w:rsidP="008A2449">
      <w:pPr>
        <w:jc w:val="both"/>
        <w:rPr>
          <w:lang w:val="ka-GE"/>
        </w:rPr>
      </w:pPr>
      <w:r w:rsidRPr="008A2449">
        <w:rPr>
          <w:lang w:val="ka-GE"/>
        </w:rPr>
        <w:t xml:space="preserve">11. წარმოებას ან საქმიანობას, რომელიც მოიცავს იძულებითი შრომის საზიანო ან ექსპლუატაციურ ფორმებს/ბავშვებისათვის საზიანო შრომას; </w:t>
      </w:r>
    </w:p>
    <w:p w14:paraId="7A1707F5" w14:textId="77777777" w:rsidR="005C212D" w:rsidRPr="008A2449" w:rsidRDefault="005C212D" w:rsidP="008A2449">
      <w:pPr>
        <w:jc w:val="both"/>
        <w:rPr>
          <w:lang w:val="ka-GE"/>
        </w:rPr>
      </w:pPr>
      <w:r w:rsidRPr="008A2449">
        <w:rPr>
          <w:lang w:val="ka-GE"/>
        </w:rPr>
        <w:t xml:space="preserve">12. მნიშვნელოვანი მოცულობის საშიში ქიმიკატების წარმოებას, ვაჭრობას, შენახვას ან/და ტრანსპორტირებას ან/და მათ გამოყენებას კომერციული მოხმარებისთვის (საშიში ქიმიკატები მოიცავს ბენზინს, ნავთსა და სხვა ნავთობპროდუქტებს); </w:t>
      </w:r>
    </w:p>
    <w:p w14:paraId="60992B5A" w14:textId="77777777" w:rsidR="005C212D" w:rsidRPr="008A2449" w:rsidRDefault="005C212D" w:rsidP="008A2449">
      <w:pPr>
        <w:jc w:val="both"/>
        <w:rPr>
          <w:lang w:val="ka-GE"/>
        </w:rPr>
      </w:pPr>
      <w:r w:rsidRPr="008A2449">
        <w:rPr>
          <w:lang w:val="ka-GE"/>
        </w:rPr>
        <w:t xml:space="preserve">13. ტყეების გაჩეხვას ტროპიკული ტენიანი ტყის პირველადი სახით გამოყენების მიზნით; </w:t>
      </w:r>
    </w:p>
    <w:p w14:paraId="6F210484" w14:textId="77777777" w:rsidR="005C212D" w:rsidRPr="008A2449" w:rsidRDefault="005C212D" w:rsidP="008A2449">
      <w:pPr>
        <w:jc w:val="both"/>
        <w:rPr>
          <w:lang w:val="ka-GE"/>
        </w:rPr>
      </w:pPr>
      <w:r w:rsidRPr="008A2449">
        <w:rPr>
          <w:lang w:val="ka-GE"/>
        </w:rPr>
        <w:t xml:space="preserve">14. ხის ან სხვა სატყეო პროდუქტების წარმოებას ან ვაჭრობა, გარდა მდგრადად მართვადი ტყეებისა; </w:t>
      </w:r>
    </w:p>
    <w:p w14:paraId="60B74093" w14:textId="77777777" w:rsidR="005C212D" w:rsidRPr="008A2449" w:rsidRDefault="005C212D" w:rsidP="008A2449">
      <w:pPr>
        <w:jc w:val="both"/>
        <w:rPr>
          <w:lang w:val="ka-GE"/>
        </w:rPr>
      </w:pPr>
      <w:r w:rsidRPr="008A2449">
        <w:rPr>
          <w:lang w:val="ka-GE"/>
        </w:rPr>
        <w:t xml:space="preserve">15. ტრანსსასაზღვრო ვაჭრობას ნარჩენებით ან ნარჩენი პროდუქტებით, გარდა გადამუშავებისთვის განკუთვნილი არასახიფათო ნარჩენებისა; </w:t>
      </w:r>
    </w:p>
    <w:p w14:paraId="713534B8" w14:textId="77777777" w:rsidR="005C212D" w:rsidRPr="008A2449" w:rsidRDefault="005C212D" w:rsidP="008A2449">
      <w:pPr>
        <w:jc w:val="both"/>
        <w:rPr>
          <w:lang w:val="ka-GE"/>
        </w:rPr>
      </w:pPr>
      <w:r w:rsidRPr="008A2449">
        <w:rPr>
          <w:lang w:val="ka-GE"/>
        </w:rPr>
        <w:t xml:space="preserve">16. მდგრადი ორგანული დამაბინძურებელი ნივთიერებების წარმოებას ან/და ვაჭრობას; </w:t>
      </w:r>
    </w:p>
    <w:p w14:paraId="21347793" w14:textId="77777777" w:rsidR="005C212D" w:rsidRPr="008A2449" w:rsidRDefault="005C212D" w:rsidP="008A2449">
      <w:pPr>
        <w:jc w:val="both"/>
        <w:rPr>
          <w:lang w:val="ka-GE"/>
        </w:rPr>
      </w:pPr>
      <w:r w:rsidRPr="008A2449">
        <w:rPr>
          <w:lang w:val="ka-GE"/>
        </w:rPr>
        <w:lastRenderedPageBreak/>
        <w:t xml:space="preserve">17. საქმიანობას, რომელიც მოიცავს ეროვნული პარკის ან მსგავსი დაცული ტერიტორიის მნიშვნელოვან დეგრადაციას; </w:t>
      </w:r>
    </w:p>
    <w:p w14:paraId="74DBF846" w14:textId="77777777" w:rsidR="005C212D" w:rsidRPr="008A2449" w:rsidRDefault="005C212D" w:rsidP="008A2449">
      <w:pPr>
        <w:jc w:val="both"/>
        <w:rPr>
          <w:lang w:val="ka-GE"/>
        </w:rPr>
      </w:pPr>
      <w:r w:rsidRPr="008A2449">
        <w:rPr>
          <w:lang w:val="ka-GE"/>
        </w:rPr>
        <w:t xml:space="preserve">18. საქმიანობას, რომელიც მოიცავს სამსახურში მუშათა/დასაქმებულთა ფუნდამენტური პრინციპებისა და უფლებების დაუცველობას/ შეუსრულებლობას; </w:t>
      </w:r>
    </w:p>
    <w:p w14:paraId="35D08646" w14:textId="77777777" w:rsidR="005C212D" w:rsidRPr="008A2449" w:rsidRDefault="005C212D" w:rsidP="008A2449">
      <w:pPr>
        <w:jc w:val="both"/>
        <w:rPr>
          <w:lang w:val="ka-GE"/>
        </w:rPr>
      </w:pPr>
      <w:r w:rsidRPr="008A2449">
        <w:rPr>
          <w:lang w:val="ka-GE"/>
        </w:rPr>
        <w:t xml:space="preserve">19. საქმიანობას, რომელიც მოიცავს უძრავი ქონებით სპეკულაციას; </w:t>
      </w:r>
    </w:p>
    <w:p w14:paraId="1BBBF430" w14:textId="65F03B9E" w:rsidR="005C212D" w:rsidRPr="008A2449" w:rsidRDefault="005C212D" w:rsidP="008A2449">
      <w:pPr>
        <w:jc w:val="both"/>
        <w:rPr>
          <w:lang w:val="ka-GE"/>
        </w:rPr>
      </w:pPr>
      <w:r w:rsidRPr="008A2449">
        <w:rPr>
          <w:lang w:val="ka-GE"/>
        </w:rPr>
        <w:t>20. საქმიანობას, რომელიც მოცემულია გარემოსდაცვითი შეფასების კოდექსის დანართ №1-სა და დანართ №2-ში.</w:t>
      </w:r>
    </w:p>
    <w:p w14:paraId="1493973A" w14:textId="77777777" w:rsidR="005C212D" w:rsidRPr="008A2449" w:rsidRDefault="005C212D" w:rsidP="008A2449">
      <w:pPr>
        <w:jc w:val="both"/>
        <w:rPr>
          <w:lang w:val="ka-GE"/>
        </w:rPr>
      </w:pPr>
      <w:r w:rsidRPr="00363F86">
        <w:rPr>
          <w:lang w:val="ka-GE"/>
        </w:rPr>
        <w:t>გ)</w:t>
      </w:r>
      <w:r w:rsidRPr="008A2449">
        <w:rPr>
          <w:lang w:val="ka-GE"/>
        </w:rPr>
        <w:t xml:space="preserve"> მეწარმე სუბიექტი არის სააგენტოს საკონსულტაციო ცენტრის წევრი და რეგისტრირებულია სააგენტოს საკონსულტაციო ცენტრის ბაზაში;</w:t>
      </w:r>
    </w:p>
    <w:p w14:paraId="7D1D51FA" w14:textId="77777777" w:rsidR="005C212D" w:rsidRPr="008A2449" w:rsidRDefault="005C212D" w:rsidP="008A2449">
      <w:pPr>
        <w:jc w:val="both"/>
        <w:rPr>
          <w:lang w:val="ka-GE"/>
        </w:rPr>
      </w:pPr>
      <w:r w:rsidRPr="008A2449">
        <w:rPr>
          <w:lang w:val="ka-GE"/>
        </w:rPr>
        <w:t xml:space="preserve">დ) მეწარმე სუბიექტი რეგისტრირებულია მეწარმე სუბიექტთა რეესტრში პროგრამის ფარგლებში საკონსულტაციო მომსახურების მიღების მიზნით სააგენტოსთან ხელშეკრულების გაფორმების მომენტამდე არანაკლებ ერთი კალენდარული წლით ადრე. </w:t>
      </w:r>
    </w:p>
    <w:p w14:paraId="68DECFB7" w14:textId="77777777" w:rsidR="005C212D" w:rsidRPr="008A2449" w:rsidRDefault="005C212D" w:rsidP="008A2449">
      <w:pPr>
        <w:jc w:val="both"/>
        <w:rPr>
          <w:lang w:val="ka-GE"/>
        </w:rPr>
      </w:pPr>
      <w:r w:rsidRPr="008A2449">
        <w:rPr>
          <w:lang w:val="ka-GE"/>
        </w:rPr>
        <w:t>ე) მეწარმე სუბიექტის მიერ მიღებული შემოსავალი, სააგენტოსთან ხელშეკრულების გაფორმებამდე წინა თორმეტი თვის მანძილზე, არის ან აღემატება 30 000 ლარს, რაც დასტურდება ქვემოთ მოცემული დოკუმენტაციით ანბანური თანმიმდევრობის გათვალიწინებით:</w:t>
      </w:r>
    </w:p>
    <w:p w14:paraId="46D38EE6" w14:textId="77777777" w:rsidR="005C212D" w:rsidRPr="008A2449" w:rsidRDefault="005C212D" w:rsidP="008A2449">
      <w:pPr>
        <w:jc w:val="both"/>
        <w:rPr>
          <w:lang w:val="ka-GE"/>
        </w:rPr>
      </w:pPr>
      <w:r w:rsidRPr="008A2449">
        <w:rPr>
          <w:lang w:val="ka-GE"/>
        </w:rPr>
        <w:t xml:space="preserve">ე.ა) სსიპ შემოსავლების სამსახურიდან მიღებული ცნობით, </w:t>
      </w:r>
    </w:p>
    <w:p w14:paraId="3D1DEB37" w14:textId="77777777" w:rsidR="005C212D" w:rsidRPr="008A2449" w:rsidRDefault="005C212D" w:rsidP="008A2449">
      <w:pPr>
        <w:jc w:val="both"/>
        <w:rPr>
          <w:lang w:val="ka-GE"/>
        </w:rPr>
      </w:pPr>
      <w:r w:rsidRPr="008A2449">
        <w:rPr>
          <w:lang w:val="ka-GE"/>
        </w:rPr>
        <w:t xml:space="preserve">ე.ბ) შესაბამისი კონტრაქტებით, მიღება-ჩაბარების აქტებით, თანხის გადახდის დამადასტურებელი დოკუმენტებით ან/და კომპანიის მიერ წარდგენილი სხვა ნებისმიერი რელევანტური დოკუმენტაციით, </w:t>
      </w:r>
    </w:p>
    <w:p w14:paraId="3FD578C5" w14:textId="77777777" w:rsidR="005C212D" w:rsidRPr="008A2449" w:rsidRDefault="005C212D" w:rsidP="008A2449">
      <w:pPr>
        <w:jc w:val="both"/>
        <w:rPr>
          <w:lang w:val="ka-GE"/>
        </w:rPr>
      </w:pPr>
      <w:r w:rsidRPr="008A2449">
        <w:rPr>
          <w:lang w:val="ka-GE"/>
        </w:rPr>
        <w:t>ე.გ) კომპანიის დირექტორის მიერ  მიღებული შემოსავლების შესახებ ხელმოწერილი ცნობით.</w:t>
      </w:r>
    </w:p>
    <w:p w14:paraId="7B86E498" w14:textId="475F4BE9" w:rsidR="005C212D" w:rsidRPr="008A2449" w:rsidRDefault="005C212D" w:rsidP="008A2449">
      <w:pPr>
        <w:jc w:val="both"/>
        <w:rPr>
          <w:lang w:val="ka-GE"/>
        </w:rPr>
      </w:pPr>
      <w:r w:rsidRPr="008A2449">
        <w:rPr>
          <w:lang w:val="ka-GE"/>
        </w:rPr>
        <w:t xml:space="preserve">2. </w:t>
      </w:r>
      <w:r w:rsidRPr="00EB2DD5">
        <w:rPr>
          <w:lang w:val="ka-GE"/>
        </w:rPr>
        <w:t xml:space="preserve">ამ მუხლის პირველი პუნქტის „დ“ და </w:t>
      </w:r>
      <w:r w:rsidRPr="00766986">
        <w:rPr>
          <w:lang w:val="ka-GE"/>
        </w:rPr>
        <w:t xml:space="preserve">„ე“ </w:t>
      </w:r>
      <w:r w:rsidR="00EB2DD5" w:rsidRPr="00766986">
        <w:rPr>
          <w:lang w:val="ka-GE"/>
        </w:rPr>
        <w:t>ქვე</w:t>
      </w:r>
      <w:r w:rsidRPr="00766986">
        <w:rPr>
          <w:lang w:val="ka-GE"/>
        </w:rPr>
        <w:t>პუნქტით</w:t>
      </w:r>
      <w:r w:rsidRPr="008A2449">
        <w:rPr>
          <w:lang w:val="ka-GE"/>
        </w:rPr>
        <w:t xml:space="preserve"> განსაზღვრული კრიტერიუმის დაკმაყოფილება არ არის სავალდებულო იმ მეწარმე სუბიექტებისთვის, რომლებიც არიან 2020-2023 წლების მიკრო და მცირე მეწარმეობის ხელშეწყობის პროგრამის ბენეფიციარები.</w:t>
      </w:r>
    </w:p>
    <w:p w14:paraId="00FCA2EB" w14:textId="77777777" w:rsidR="005C212D" w:rsidRPr="008A2449" w:rsidRDefault="005C212D" w:rsidP="008A2449">
      <w:pPr>
        <w:jc w:val="both"/>
        <w:rPr>
          <w:b/>
          <w:lang w:val="ka-GE"/>
        </w:rPr>
      </w:pPr>
    </w:p>
    <w:p w14:paraId="7702C30C" w14:textId="4503F2F1" w:rsidR="005C212D" w:rsidRPr="008A2449" w:rsidRDefault="005C212D" w:rsidP="008A2449">
      <w:pPr>
        <w:jc w:val="both"/>
        <w:rPr>
          <w:b/>
          <w:lang w:val="ka-GE"/>
        </w:rPr>
      </w:pPr>
      <w:r w:rsidRPr="00766986">
        <w:rPr>
          <w:b/>
          <w:lang w:val="ka-GE"/>
        </w:rPr>
        <w:t>მუხლი</w:t>
      </w:r>
      <w:r w:rsidR="00D65971">
        <w:rPr>
          <w:b/>
          <w:lang w:val="ka-GE"/>
        </w:rPr>
        <w:t xml:space="preserve"> 3.</w:t>
      </w:r>
      <w:r w:rsidRPr="00766986">
        <w:rPr>
          <w:b/>
          <w:lang w:val="ka-GE"/>
        </w:rPr>
        <w:t xml:space="preserve"> </w:t>
      </w:r>
      <w:r w:rsidRPr="008A2449">
        <w:rPr>
          <w:b/>
          <w:lang w:val="ka-GE"/>
        </w:rPr>
        <w:t>საკონსულტაციო მომსახურების მიმართულებით განსაზღვრული სერვისების მიღების ეტაპები:</w:t>
      </w:r>
    </w:p>
    <w:p w14:paraId="40018D9C" w14:textId="77777777" w:rsidR="005C212D" w:rsidRPr="008A2449" w:rsidRDefault="005C212D" w:rsidP="008A2449">
      <w:pPr>
        <w:jc w:val="both"/>
        <w:rPr>
          <w:lang w:val="ka-GE"/>
        </w:rPr>
      </w:pPr>
      <w:r w:rsidRPr="008A2449">
        <w:rPr>
          <w:lang w:val="ka-GE"/>
        </w:rPr>
        <w:t>1. საკონსულტაციო მომსახურების მიღების მიზნით მეწარმე სუბიექტი რეგისტრირდება სააგენტოს პროგრამულ უზრუნველყოფაში.</w:t>
      </w:r>
    </w:p>
    <w:p w14:paraId="16A26E6B" w14:textId="77777777" w:rsidR="005C212D" w:rsidRPr="008A2449" w:rsidRDefault="005C212D" w:rsidP="008A2449">
      <w:pPr>
        <w:jc w:val="both"/>
        <w:rPr>
          <w:lang w:val="ka-GE"/>
        </w:rPr>
      </w:pPr>
      <w:r w:rsidRPr="008A2449">
        <w:rPr>
          <w:lang w:val="ka-GE"/>
        </w:rPr>
        <w:t>2. მეწარმე სუბიექტი ცენტრის თანამშრომელთან ერთად პროგრამული უზრუნველყოფაში ავსებს ბიზნეს დიაგნოსტიკის ტესტს.</w:t>
      </w:r>
    </w:p>
    <w:p w14:paraId="7072C30E" w14:textId="100EFB05" w:rsidR="005C212D" w:rsidRPr="008A2449" w:rsidRDefault="005C212D" w:rsidP="008A2449">
      <w:pPr>
        <w:jc w:val="both"/>
        <w:rPr>
          <w:lang w:val="ka-GE"/>
        </w:rPr>
      </w:pPr>
      <w:r w:rsidRPr="008A2449">
        <w:rPr>
          <w:lang w:val="ka-GE"/>
        </w:rPr>
        <w:t xml:space="preserve">3. შევსებულ დიაგნოსტიკის ფორმას 30 კალენდარული დღის ვადაში </w:t>
      </w:r>
      <w:r w:rsidR="00D108E8">
        <w:rPr>
          <w:lang w:val="ka-GE"/>
        </w:rPr>
        <w:t xml:space="preserve"> განიხილავს სააგენტო </w:t>
      </w:r>
      <w:r w:rsidRPr="008A2449">
        <w:rPr>
          <w:lang w:val="ka-GE"/>
        </w:rPr>
        <w:t>და ადგენს კონკრეტული მეწარმე სუბიექტის საჭიროებების შესაბამისი  მომსახურების/მომსახურებების ჩამონათვალს.</w:t>
      </w:r>
    </w:p>
    <w:p w14:paraId="7DB1D529" w14:textId="77777777" w:rsidR="005C212D" w:rsidRPr="008A2449" w:rsidRDefault="005C212D" w:rsidP="008A2449">
      <w:pPr>
        <w:jc w:val="both"/>
        <w:rPr>
          <w:lang w:val="ka-GE"/>
        </w:rPr>
      </w:pPr>
      <w:r w:rsidRPr="008A2449">
        <w:rPr>
          <w:lang w:val="ka-GE"/>
        </w:rPr>
        <w:lastRenderedPageBreak/>
        <w:t>4. დადგენილი საჭიროებების შესაბამისად მეწარმე სუბიექტი სააგენტოს მიერ მისთვის მიწოდებული საკონსულტაციო კომპანიების სიიდან ირჩევს მისთვის სასურველ კომპანიას.</w:t>
      </w:r>
    </w:p>
    <w:p w14:paraId="2A4B8772" w14:textId="77777777" w:rsidR="005C212D" w:rsidRPr="008A2449" w:rsidRDefault="005C212D" w:rsidP="008A2449">
      <w:pPr>
        <w:jc w:val="both"/>
        <w:rPr>
          <w:lang w:val="ka-GE"/>
        </w:rPr>
      </w:pPr>
      <w:r w:rsidRPr="008A2449">
        <w:rPr>
          <w:lang w:val="ka-GE"/>
        </w:rPr>
        <w:t>5. სააგენტოს, არჩეულ საკონსულტაციო კომპანიასა და მეწარმე სუბიექტს შორის ფორმდება სამმხრივი ხელშეკრულება.</w:t>
      </w:r>
    </w:p>
    <w:p w14:paraId="2E97FC81" w14:textId="77777777" w:rsidR="005C212D" w:rsidRPr="008A2449" w:rsidRDefault="005C212D" w:rsidP="008A2449">
      <w:pPr>
        <w:jc w:val="both"/>
        <w:rPr>
          <w:lang w:val="ka-GE"/>
        </w:rPr>
      </w:pPr>
      <w:r w:rsidRPr="008A2449">
        <w:rPr>
          <w:lang w:val="ka-GE"/>
        </w:rPr>
        <w:t xml:space="preserve">6. საკონსულტაციო კომპანია, ხელშეკრულებით განსაზღვრული პირობების შესრულების შემდეგ, პროგრამული უზრუნველყოფის მეშვეობით, გაწეული მომსახურების თაობაზე შესრულების ანგარიშს, მიღება-ჩაბარების აქტს და ბენეფიციარის მხრიდან თანხის გადახდის დამადასტურებელ დოკუმენტს წარუდგენს სააგენტოს. </w:t>
      </w:r>
    </w:p>
    <w:p w14:paraId="17BE9D68" w14:textId="77777777" w:rsidR="005C212D" w:rsidRPr="008A2449" w:rsidRDefault="005C212D" w:rsidP="008A2449">
      <w:pPr>
        <w:jc w:val="both"/>
        <w:rPr>
          <w:lang w:val="ka-GE"/>
        </w:rPr>
      </w:pPr>
      <w:r w:rsidRPr="008A2449">
        <w:rPr>
          <w:lang w:val="ka-GE"/>
        </w:rPr>
        <w:t xml:space="preserve">7. სააგენტო ვალდებულია საკონსულტაციო კომპანიას გადაურიცხოს მომსახურების საფასურიდან მისი წილი თანადაფინანსების თანხა ამ </w:t>
      </w:r>
      <w:r w:rsidRPr="00766986">
        <w:rPr>
          <w:lang w:val="ka-GE"/>
        </w:rPr>
        <w:t>მუხლის მე-5 პუნქტით</w:t>
      </w:r>
      <w:r w:rsidRPr="008A2449">
        <w:rPr>
          <w:lang w:val="ka-GE"/>
        </w:rPr>
        <w:t xml:space="preserve"> განსაზღვრული ხელშეკრულებით დადგენილი წესის შესაბამისად.  </w:t>
      </w:r>
    </w:p>
    <w:p w14:paraId="06A96FA2" w14:textId="77777777" w:rsidR="005C212D" w:rsidRPr="008A2449" w:rsidRDefault="005C212D" w:rsidP="008A2449">
      <w:pPr>
        <w:jc w:val="both"/>
        <w:rPr>
          <w:lang w:val="ka-GE"/>
        </w:rPr>
      </w:pPr>
    </w:p>
    <w:p w14:paraId="2D2C4CF4" w14:textId="1E0F8507" w:rsidR="005C212D" w:rsidRPr="008A2449" w:rsidRDefault="005C212D" w:rsidP="008A2449">
      <w:pPr>
        <w:jc w:val="both"/>
        <w:rPr>
          <w:b/>
          <w:lang w:val="ka-GE"/>
        </w:rPr>
      </w:pPr>
      <w:r w:rsidRPr="00766986">
        <w:rPr>
          <w:b/>
          <w:lang w:val="ka-GE"/>
        </w:rPr>
        <w:t xml:space="preserve">მუხლი </w:t>
      </w:r>
      <w:r w:rsidR="00542FB2">
        <w:rPr>
          <w:b/>
          <w:lang w:val="ka-GE"/>
        </w:rPr>
        <w:t xml:space="preserve">4. </w:t>
      </w:r>
      <w:r w:rsidRPr="008A2449">
        <w:rPr>
          <w:b/>
          <w:lang w:val="ka-GE"/>
        </w:rPr>
        <w:t>მომსახურების მიმწოდებელი საკონსულტაციო კომპანია</w:t>
      </w:r>
    </w:p>
    <w:p w14:paraId="179101D6" w14:textId="77777777" w:rsidR="005C212D" w:rsidRPr="008A2449" w:rsidRDefault="005C212D" w:rsidP="008A2449">
      <w:pPr>
        <w:jc w:val="both"/>
        <w:rPr>
          <w:lang w:val="ka-GE"/>
        </w:rPr>
      </w:pPr>
      <w:r w:rsidRPr="00766986">
        <w:rPr>
          <w:lang w:val="ka-GE"/>
        </w:rPr>
        <w:t>ამ თავით</w:t>
      </w:r>
      <w:r w:rsidRPr="008A2449">
        <w:rPr>
          <w:lang w:val="ka-GE"/>
        </w:rPr>
        <w:t xml:space="preserve"> გათვალიწინებული მიმართულების ფარგლებში, ბენეფიციარისათვის საკონსულტაციო მომსახურებების მიწოდებას ახორციელებს საკონსულტაციო კომპანია სააგენტოსთან გაფორმებული მომსახურების ხელშეკრულების საფუძველზე და ამ ხელშეკრულებით დადგენილი უფლება-მოვალეობების ფარგლებში. </w:t>
      </w:r>
    </w:p>
    <w:p w14:paraId="31003660" w14:textId="77777777" w:rsidR="005C212D" w:rsidRPr="008A2449" w:rsidRDefault="005C212D" w:rsidP="008A2449">
      <w:pPr>
        <w:jc w:val="both"/>
        <w:rPr>
          <w:lang w:val="ka-GE"/>
        </w:rPr>
      </w:pPr>
    </w:p>
    <w:p w14:paraId="7032CD39" w14:textId="54DE9B70" w:rsidR="005C212D" w:rsidRPr="008A2449" w:rsidRDefault="005C212D" w:rsidP="008A2449">
      <w:pPr>
        <w:jc w:val="both"/>
        <w:rPr>
          <w:b/>
          <w:lang w:val="ka-GE"/>
        </w:rPr>
      </w:pPr>
      <w:r w:rsidRPr="00766986">
        <w:rPr>
          <w:b/>
          <w:lang w:val="ka-GE"/>
        </w:rPr>
        <w:t xml:space="preserve">მუხლი </w:t>
      </w:r>
      <w:r w:rsidR="007919EA">
        <w:rPr>
          <w:b/>
          <w:lang w:val="ka-GE"/>
        </w:rPr>
        <w:t>5</w:t>
      </w:r>
      <w:r w:rsidRPr="00766986">
        <w:rPr>
          <w:b/>
          <w:lang w:val="ka-GE"/>
        </w:rPr>
        <w:t>.</w:t>
      </w:r>
      <w:r w:rsidRPr="008A2449">
        <w:rPr>
          <w:b/>
          <w:lang w:val="ka-GE"/>
        </w:rPr>
        <w:t xml:space="preserve"> თანადაფინანსების მოცულობა და ლიმიტები</w:t>
      </w:r>
    </w:p>
    <w:p w14:paraId="67F8076E" w14:textId="0EA3C115" w:rsidR="005C212D" w:rsidRPr="008A2449" w:rsidRDefault="005C212D" w:rsidP="008A2449">
      <w:pPr>
        <w:jc w:val="both"/>
        <w:rPr>
          <w:lang w:val="ka-GE"/>
        </w:rPr>
      </w:pPr>
      <w:r w:rsidRPr="008A2449">
        <w:rPr>
          <w:lang w:val="ka-GE"/>
        </w:rPr>
        <w:t xml:space="preserve">1. სააგენტოს მიერ საკონსულტაციო მომსახურების მიმართულების ფარგლებში მეწარმე სუბიექტისთვის გასაცემი თანადაფინანსების მაქსიმალური მოცულობა თითოეული ბენეფიციარის შემთხვევაში არ უნდა აღემატებოდეს 10,000 ლარს ყველა მოდულში, გარდა გაციფრულებისა. გაციფრულების მიმართულებით მომსახურებით სარგებლობის შემთხვევაში სააგენტოს თანადაფინანსების მაქსიმალური ოდენობა შეადგენს 25,000 ლარს. </w:t>
      </w:r>
    </w:p>
    <w:p w14:paraId="3141ED64" w14:textId="37C0FC2C" w:rsidR="005C212D" w:rsidRPr="008A2449" w:rsidRDefault="005C212D" w:rsidP="008A2449">
      <w:pPr>
        <w:jc w:val="both"/>
        <w:rPr>
          <w:lang w:val="ka-GE"/>
        </w:rPr>
      </w:pPr>
      <w:r w:rsidRPr="008A2449">
        <w:rPr>
          <w:lang w:val="ka-GE"/>
        </w:rPr>
        <w:t xml:space="preserve">2. საკონსულტაციო მომსახურებების დაფინანსებაში სააგენტოს პროცენტული მონაწილეობის მაჩვენებლები განისაზღვრება შემდეგი წესით: </w:t>
      </w:r>
    </w:p>
    <w:p w14:paraId="493CD46B" w14:textId="77777777" w:rsidR="005C212D" w:rsidRPr="008A2449" w:rsidRDefault="005C212D" w:rsidP="008A2449">
      <w:pPr>
        <w:jc w:val="both"/>
        <w:rPr>
          <w:lang w:val="ka-GE"/>
        </w:rPr>
      </w:pPr>
      <w:r w:rsidRPr="008A2449">
        <w:rPr>
          <w:lang w:val="ka-GE"/>
        </w:rPr>
        <w:t xml:space="preserve">ა) თუ ხელშეკრულების გაფორმებამდე წინა 12 კალენდარული თვის განმავლობაში მეწარმე სუბიექტის მიერ მიღებული შემოსავალი არის 2 მლნ ლარიდან - 10 მლნ ლარამდე -  სრული ღირებულების 50%-ის ოდენობით, </w:t>
      </w:r>
    </w:p>
    <w:p w14:paraId="3DADE476" w14:textId="77777777" w:rsidR="005C212D" w:rsidRPr="008A2449" w:rsidRDefault="005C212D" w:rsidP="008A2449">
      <w:pPr>
        <w:jc w:val="both"/>
        <w:rPr>
          <w:lang w:val="ka-GE"/>
        </w:rPr>
      </w:pPr>
      <w:r w:rsidRPr="008A2449">
        <w:rPr>
          <w:lang w:val="ka-GE"/>
        </w:rPr>
        <w:t>ბ) თუ ხელშეკრულების გაფორმებამდე წინა 12 კალენდარული თვის განმავლობაში მეწარმე სუბიექტის მიერ მიღებული შემოსავალი არის:</w:t>
      </w:r>
    </w:p>
    <w:p w14:paraId="532269AB" w14:textId="77777777" w:rsidR="005C212D" w:rsidRPr="008A2449" w:rsidRDefault="005C212D" w:rsidP="008A2449">
      <w:pPr>
        <w:numPr>
          <w:ilvl w:val="0"/>
          <w:numId w:val="35"/>
        </w:numPr>
        <w:jc w:val="both"/>
        <w:rPr>
          <w:lang w:val="ka-GE"/>
        </w:rPr>
      </w:pPr>
      <w:r w:rsidRPr="008A2449">
        <w:rPr>
          <w:lang w:val="ka-GE"/>
        </w:rPr>
        <w:t>30,000-500,000 ლარამდე - არაუმეტეს სრული ღირებულების 90%-ის ოდენობით;</w:t>
      </w:r>
    </w:p>
    <w:p w14:paraId="6A3CA70D" w14:textId="77777777" w:rsidR="005C212D" w:rsidRPr="008A2449" w:rsidRDefault="005C212D" w:rsidP="008A2449">
      <w:pPr>
        <w:numPr>
          <w:ilvl w:val="0"/>
          <w:numId w:val="35"/>
        </w:numPr>
        <w:jc w:val="both"/>
        <w:rPr>
          <w:lang w:val="ka-GE"/>
        </w:rPr>
      </w:pPr>
      <w:r w:rsidRPr="008A2449">
        <w:rPr>
          <w:lang w:val="ka-GE"/>
        </w:rPr>
        <w:t>500,000-2,000,000 ლარამდე - არაუმეტეს სრული ღირებულების 70%-ის ოდენობით;</w:t>
      </w:r>
    </w:p>
    <w:p w14:paraId="33E18713" w14:textId="77777777" w:rsidR="005C212D" w:rsidRPr="008A2449" w:rsidRDefault="005C212D" w:rsidP="008A2449">
      <w:pPr>
        <w:jc w:val="both"/>
        <w:rPr>
          <w:lang w:val="ka-GE"/>
        </w:rPr>
      </w:pPr>
    </w:p>
    <w:p w14:paraId="6E07A636" w14:textId="216A724E" w:rsidR="005C212D" w:rsidRPr="008A2449" w:rsidRDefault="00AD134F" w:rsidP="00766986">
      <w:pPr>
        <w:ind w:left="360"/>
        <w:jc w:val="both"/>
        <w:rPr>
          <w:lang w:val="ka-GE"/>
        </w:rPr>
      </w:pPr>
      <w:r w:rsidRPr="00766986">
        <w:rPr>
          <w:lang w:val="en-GB"/>
        </w:rPr>
        <w:lastRenderedPageBreak/>
        <w:t xml:space="preserve">3. </w:t>
      </w:r>
      <w:r>
        <w:rPr>
          <w:lang w:val="en-GB"/>
        </w:rPr>
        <w:t xml:space="preserve"> </w:t>
      </w:r>
      <w:r w:rsidR="005C212D" w:rsidRPr="008A2449">
        <w:rPr>
          <w:lang w:val="ka-GE"/>
        </w:rPr>
        <w:t xml:space="preserve">ამ მუხლის პირველი პუნქტით განსაზღვრული თანადაფინანსების მაქსიმალურ მოცულობაში სააგენტოს მონაწილეობის პროცენტული მაჩვენებელი შესაძლოა </w:t>
      </w:r>
      <w:r w:rsidR="002C3AED" w:rsidRPr="008A2449">
        <w:rPr>
          <w:lang w:val="ka-GE"/>
        </w:rPr>
        <w:t>გაიზარდოს</w:t>
      </w:r>
      <w:r w:rsidR="005C212D" w:rsidRPr="008A2449">
        <w:rPr>
          <w:lang w:val="ka-GE"/>
        </w:rPr>
        <w:t xml:space="preserve"> 5%-ით, თუმცა არაუმეტეს 95%-სა, იმ მეწარმე სუბიექტებისთვის:</w:t>
      </w:r>
    </w:p>
    <w:p w14:paraId="36805C4E" w14:textId="4468CF66" w:rsidR="005C212D" w:rsidRPr="008A2449" w:rsidRDefault="005C212D" w:rsidP="008A2449">
      <w:pPr>
        <w:jc w:val="both"/>
        <w:rPr>
          <w:lang w:val="ka-GE"/>
        </w:rPr>
      </w:pPr>
      <w:r w:rsidRPr="008A2449">
        <w:rPr>
          <w:lang w:val="ka-GE"/>
        </w:rPr>
        <w:t xml:space="preserve">ა) რომელთა - 50%-ზე მეტი წილის </w:t>
      </w:r>
      <w:r w:rsidR="007919EA">
        <w:rPr>
          <w:lang w:val="ka-GE"/>
        </w:rPr>
        <w:t>მესაკუთრე</w:t>
      </w:r>
      <w:r w:rsidRPr="008A2449">
        <w:rPr>
          <w:lang w:val="ka-GE"/>
        </w:rPr>
        <w:t xml:space="preserve"> ქალია ან,</w:t>
      </w:r>
    </w:p>
    <w:p w14:paraId="7561EB62" w14:textId="77777777" w:rsidR="005C212D" w:rsidRPr="008A2449" w:rsidRDefault="005C212D" w:rsidP="008A2449">
      <w:pPr>
        <w:jc w:val="both"/>
        <w:rPr>
          <w:lang w:val="ka-GE"/>
        </w:rPr>
      </w:pPr>
      <w:r w:rsidRPr="008A2449">
        <w:rPr>
          <w:lang w:val="ka-GE"/>
        </w:rPr>
        <w:t>ბ) რომელთა 50%-ზე მეტი წილის მესაკუთრე არის იძულებით გადაადგილებული პირი, ან</w:t>
      </w:r>
    </w:p>
    <w:p w14:paraId="489000A4" w14:textId="77777777" w:rsidR="005C212D" w:rsidRPr="008A2449" w:rsidRDefault="005C212D" w:rsidP="008A2449">
      <w:pPr>
        <w:jc w:val="both"/>
        <w:rPr>
          <w:lang w:val="ka-GE"/>
        </w:rPr>
      </w:pPr>
      <w:r w:rsidRPr="008A2449">
        <w:rPr>
          <w:lang w:val="ka-GE"/>
        </w:rPr>
        <w:t>გ) რომელთა 50%-ზე მეტი წილის მესაკუთრე არის საქართველოს მთავრობის 2012 წლის 23 ივლისის N279 დადგენილებით გათვალისწინებული სოციალური პაკეტის მიმღები შეზღუდული შესაძლებლობის მქონე პირი.</w:t>
      </w:r>
    </w:p>
    <w:p w14:paraId="067EE68C" w14:textId="09DB837A" w:rsidR="005C212D" w:rsidRPr="008A2449" w:rsidRDefault="005C212D" w:rsidP="008A2449">
      <w:pPr>
        <w:jc w:val="both"/>
        <w:rPr>
          <w:b/>
          <w:lang w:val="ka-GE"/>
        </w:rPr>
      </w:pPr>
    </w:p>
    <w:p w14:paraId="4D5F3B23" w14:textId="77777777" w:rsidR="005C212D" w:rsidRPr="008A2449" w:rsidRDefault="005C212D" w:rsidP="005C212D">
      <w:pPr>
        <w:jc w:val="center"/>
        <w:rPr>
          <w:b/>
          <w:lang w:val="ka-GE"/>
        </w:rPr>
      </w:pPr>
      <w:r w:rsidRPr="008A2449">
        <w:rPr>
          <w:b/>
          <w:lang w:val="ka-GE"/>
        </w:rPr>
        <w:t>თავი II</w:t>
      </w:r>
    </w:p>
    <w:p w14:paraId="596C82FB" w14:textId="77777777" w:rsidR="005C212D" w:rsidRPr="008A2449" w:rsidRDefault="005C212D" w:rsidP="005C212D">
      <w:pPr>
        <w:jc w:val="center"/>
        <w:rPr>
          <w:b/>
          <w:lang w:val="ka-GE"/>
        </w:rPr>
      </w:pPr>
      <w:r w:rsidRPr="008A2449">
        <w:rPr>
          <w:b/>
          <w:lang w:val="ka-GE"/>
        </w:rPr>
        <w:t>ბიზნეს უნარების გაუმჯობესების მიმართულება</w:t>
      </w:r>
    </w:p>
    <w:p w14:paraId="32E9CC26" w14:textId="77777777" w:rsidR="005C212D" w:rsidRPr="008A2449" w:rsidRDefault="005C212D" w:rsidP="008A2449">
      <w:pPr>
        <w:jc w:val="both"/>
        <w:rPr>
          <w:lang w:val="ka-GE"/>
        </w:rPr>
      </w:pPr>
      <w:r w:rsidRPr="008A2449">
        <w:rPr>
          <w:lang w:val="ka-GE"/>
        </w:rPr>
        <w:t xml:space="preserve">ბიზნეს უნარების გაუმჯობესების მიმართულება მოიცავს  მეწარმე სუბიექტის საჭიროებებზე მორგებული მოკლევადიანი/გრძელვადიანი სამუშაო შეხვედრებისა და ლექციების/ტრენინგების მიწოდებას, მათ შორის და არა მხოლოდ, ბიზნეს შეხვედრების ორგანიზებას როგორც ადგილობრივ, ისე საერთაშორისო დონეზე. </w:t>
      </w:r>
    </w:p>
    <w:p w14:paraId="4E499609" w14:textId="77777777" w:rsidR="005C212D" w:rsidRPr="008A2449" w:rsidRDefault="005C212D" w:rsidP="008A2449">
      <w:pPr>
        <w:jc w:val="both"/>
        <w:rPr>
          <w:lang w:val="ka-GE"/>
        </w:rPr>
      </w:pPr>
    </w:p>
    <w:p w14:paraId="780DB500" w14:textId="420458AB" w:rsidR="005C212D" w:rsidRPr="008A2449" w:rsidRDefault="005C212D" w:rsidP="008A2449">
      <w:pPr>
        <w:jc w:val="both"/>
        <w:rPr>
          <w:b/>
          <w:lang w:val="ka-GE"/>
        </w:rPr>
      </w:pPr>
      <w:r w:rsidRPr="00766986">
        <w:rPr>
          <w:b/>
          <w:lang w:val="ka-GE"/>
        </w:rPr>
        <w:t xml:space="preserve">მუხლი </w:t>
      </w:r>
      <w:r w:rsidR="00B61435">
        <w:rPr>
          <w:b/>
          <w:lang w:val="ka-GE"/>
        </w:rPr>
        <w:t xml:space="preserve">6. </w:t>
      </w:r>
      <w:r w:rsidRPr="00766986">
        <w:rPr>
          <w:b/>
          <w:lang w:val="ka-GE"/>
        </w:rPr>
        <w:t>.</w:t>
      </w:r>
      <w:r w:rsidRPr="008A2449">
        <w:rPr>
          <w:b/>
          <w:lang w:val="ka-GE"/>
        </w:rPr>
        <w:t xml:space="preserve"> ბიზნეს უნარების გაუმჯობესების </w:t>
      </w:r>
      <w:r w:rsidR="00B61435">
        <w:rPr>
          <w:b/>
          <w:lang w:val="ka-GE"/>
        </w:rPr>
        <w:t xml:space="preserve">მიმართულება </w:t>
      </w:r>
      <w:r w:rsidRPr="008A2449">
        <w:rPr>
          <w:b/>
          <w:lang w:val="ka-GE"/>
        </w:rPr>
        <w:t xml:space="preserve"> მოიცავს შემდეგ მოდულებს:</w:t>
      </w:r>
    </w:p>
    <w:p w14:paraId="40E5CA1E" w14:textId="77777777" w:rsidR="005C212D" w:rsidRPr="008A2449" w:rsidRDefault="005C212D" w:rsidP="008A2449">
      <w:pPr>
        <w:jc w:val="both"/>
        <w:rPr>
          <w:lang w:val="ka-GE"/>
        </w:rPr>
      </w:pPr>
      <w:r w:rsidRPr="008A2449">
        <w:rPr>
          <w:lang w:val="ka-GE"/>
        </w:rPr>
        <w:t>ა) გაყიდვები და მარკეტინგი,</w:t>
      </w:r>
    </w:p>
    <w:p w14:paraId="4A87CA52" w14:textId="77777777" w:rsidR="005C212D" w:rsidRPr="008A2449" w:rsidRDefault="005C212D" w:rsidP="008A2449">
      <w:pPr>
        <w:jc w:val="both"/>
        <w:rPr>
          <w:lang w:val="ka-GE"/>
        </w:rPr>
      </w:pPr>
      <w:r w:rsidRPr="008A2449">
        <w:rPr>
          <w:lang w:val="ka-GE"/>
        </w:rPr>
        <w:t>ბ) საგადასახადო საკითხები,</w:t>
      </w:r>
    </w:p>
    <w:p w14:paraId="56699B6E" w14:textId="77777777" w:rsidR="005C212D" w:rsidRPr="008A2449" w:rsidRDefault="005C212D" w:rsidP="008A2449">
      <w:pPr>
        <w:jc w:val="both"/>
        <w:rPr>
          <w:lang w:val="ka-GE"/>
        </w:rPr>
      </w:pPr>
      <w:r w:rsidRPr="008A2449">
        <w:rPr>
          <w:lang w:val="ka-GE"/>
        </w:rPr>
        <w:t>გ) იურიდიული მომსახურება,</w:t>
      </w:r>
    </w:p>
    <w:p w14:paraId="2C7CBD87" w14:textId="77777777" w:rsidR="005C212D" w:rsidRPr="008A2449" w:rsidRDefault="005C212D" w:rsidP="008A2449">
      <w:pPr>
        <w:jc w:val="both"/>
        <w:rPr>
          <w:lang w:val="ka-GE"/>
        </w:rPr>
      </w:pPr>
      <w:r w:rsidRPr="008A2449">
        <w:rPr>
          <w:lang w:val="ka-GE"/>
        </w:rPr>
        <w:t>დ) ფინანსები და ბუღალტერია,</w:t>
      </w:r>
    </w:p>
    <w:p w14:paraId="487FB377" w14:textId="77777777" w:rsidR="005C212D" w:rsidRPr="008A2449" w:rsidRDefault="005C212D" w:rsidP="008A2449">
      <w:pPr>
        <w:jc w:val="both"/>
        <w:rPr>
          <w:lang w:val="ka-GE"/>
        </w:rPr>
      </w:pPr>
      <w:r w:rsidRPr="008A2449">
        <w:rPr>
          <w:lang w:val="ka-GE"/>
        </w:rPr>
        <w:t>ე) ბიზნეს მოდელირება და სტრატეგიის დაგეგმვა,</w:t>
      </w:r>
    </w:p>
    <w:p w14:paraId="6614CABF" w14:textId="77777777" w:rsidR="005C212D" w:rsidRPr="008A2449" w:rsidRDefault="005C212D" w:rsidP="008A2449">
      <w:pPr>
        <w:jc w:val="both"/>
        <w:rPr>
          <w:lang w:val="ka-GE"/>
        </w:rPr>
      </w:pPr>
      <w:r w:rsidRPr="008A2449">
        <w:rPr>
          <w:lang w:val="ka-GE"/>
        </w:rPr>
        <w:t>ვ) გაციფრულება.</w:t>
      </w:r>
    </w:p>
    <w:p w14:paraId="46B2FE84" w14:textId="77777777" w:rsidR="005C212D" w:rsidRPr="008A2449" w:rsidRDefault="005C212D" w:rsidP="008A2449">
      <w:pPr>
        <w:jc w:val="both"/>
        <w:rPr>
          <w:lang w:val="ka-GE"/>
        </w:rPr>
      </w:pPr>
    </w:p>
    <w:p w14:paraId="5BDAF4D4" w14:textId="2DACAEF6" w:rsidR="005C212D" w:rsidRPr="008A2449" w:rsidRDefault="005C212D" w:rsidP="008A2449">
      <w:pPr>
        <w:jc w:val="both"/>
        <w:rPr>
          <w:b/>
          <w:lang w:val="ka-GE"/>
        </w:rPr>
      </w:pPr>
      <w:r w:rsidRPr="00766986">
        <w:rPr>
          <w:b/>
          <w:lang w:val="ka-GE"/>
        </w:rPr>
        <w:t xml:space="preserve">მუხლი </w:t>
      </w:r>
      <w:r w:rsidR="003375AF">
        <w:rPr>
          <w:b/>
          <w:lang w:val="ka-GE"/>
        </w:rPr>
        <w:t xml:space="preserve">7. </w:t>
      </w:r>
      <w:r w:rsidRPr="008A2449">
        <w:rPr>
          <w:b/>
          <w:lang w:val="ka-GE"/>
        </w:rPr>
        <w:t>ბიზნეს უნარების გაუმჯობესების მიმართულებით განსაზღვრული მომსახურების მიწოდება განხორციელდება შემდეგი მეთოდებით:</w:t>
      </w:r>
      <w:r w:rsidRPr="008A2449">
        <w:rPr>
          <w:b/>
          <w:vertAlign w:val="superscript"/>
          <w:lang w:val="ka-GE"/>
        </w:rPr>
        <w:footnoteReference w:id="2"/>
      </w:r>
    </w:p>
    <w:p w14:paraId="79EF51E9" w14:textId="77777777" w:rsidR="005C212D" w:rsidRPr="008A2449" w:rsidRDefault="005C212D" w:rsidP="008A2449">
      <w:pPr>
        <w:jc w:val="both"/>
        <w:rPr>
          <w:lang w:val="ka-GE"/>
        </w:rPr>
      </w:pPr>
      <w:r w:rsidRPr="008A2449">
        <w:rPr>
          <w:lang w:val="ka-GE"/>
        </w:rPr>
        <w:t>1. ბიზნეს უნარების გაუმჯობესების მიმართულებით განსაზღვრული მომსახურების მიწოდების ძირითადი და დამატებითი მეთოდები:</w:t>
      </w:r>
    </w:p>
    <w:p w14:paraId="6D26633C" w14:textId="77777777" w:rsidR="005C212D" w:rsidRPr="008A2449" w:rsidRDefault="005C212D" w:rsidP="008A2449">
      <w:pPr>
        <w:jc w:val="both"/>
        <w:rPr>
          <w:lang w:val="ka-GE"/>
        </w:rPr>
      </w:pPr>
      <w:r w:rsidRPr="008A2449">
        <w:rPr>
          <w:lang w:val="ka-GE"/>
        </w:rPr>
        <w:t>ა) ტრენინგები - შერჩეული თემის ირგვლივ კომპლექსური სწავლება, რომელიც მოიცავს 2-7 დღემდე სწავლების პერიოდს;</w:t>
      </w:r>
    </w:p>
    <w:p w14:paraId="74B9DDEB" w14:textId="77777777" w:rsidR="005C212D" w:rsidRPr="008A2449" w:rsidRDefault="005C212D" w:rsidP="008A2449">
      <w:pPr>
        <w:jc w:val="both"/>
        <w:rPr>
          <w:lang w:val="ka-GE"/>
        </w:rPr>
      </w:pPr>
      <w:r w:rsidRPr="008A2449">
        <w:rPr>
          <w:lang w:val="ka-GE"/>
        </w:rPr>
        <w:lastRenderedPageBreak/>
        <w:t>ბ) სამუშაო შეხვედრები (workshop) - ერთჯერადი ჯგუფური აქტივობა, რომელიც მოიცავს 2-6 საათამდე ინტენსიურ აქტივობას და  პრაქტიკულ კომპონენტს;</w:t>
      </w:r>
    </w:p>
    <w:p w14:paraId="19837A95" w14:textId="77777777" w:rsidR="005C212D" w:rsidRPr="008A2449" w:rsidRDefault="005C212D" w:rsidP="008A2449">
      <w:pPr>
        <w:jc w:val="both"/>
        <w:rPr>
          <w:lang w:val="ka-GE"/>
        </w:rPr>
      </w:pPr>
      <w:r w:rsidRPr="008A2449">
        <w:rPr>
          <w:lang w:val="ka-GE"/>
        </w:rPr>
        <w:t>გ) სასწავლო პროგრამები - უმაღლეს და პროფესიულ სასწავლებლებთან ან საერთაშორისო პარტნიორებთან თანამშრომლობით შემუშავებული სასწავლო პროგრამა, რომელიც მორგებული იქნება რეგიონის ბიზნეს საჭიროებაზე;</w:t>
      </w:r>
    </w:p>
    <w:p w14:paraId="6402637E" w14:textId="77777777" w:rsidR="005C212D" w:rsidRPr="008A2449" w:rsidRDefault="005C212D" w:rsidP="008A2449">
      <w:pPr>
        <w:jc w:val="both"/>
        <w:rPr>
          <w:lang w:val="ka-GE"/>
        </w:rPr>
      </w:pPr>
    </w:p>
    <w:p w14:paraId="4AAFCFE9" w14:textId="745C14FD" w:rsidR="005C212D" w:rsidRPr="008A2449" w:rsidRDefault="005C212D" w:rsidP="008A2449">
      <w:pPr>
        <w:jc w:val="both"/>
        <w:rPr>
          <w:b/>
          <w:lang w:val="ka-GE"/>
        </w:rPr>
      </w:pPr>
      <w:r w:rsidRPr="00766986">
        <w:rPr>
          <w:b/>
          <w:lang w:val="ka-GE"/>
        </w:rPr>
        <w:t xml:space="preserve">მუხლი </w:t>
      </w:r>
      <w:r w:rsidR="0005308B">
        <w:rPr>
          <w:b/>
          <w:lang w:val="ka-GE"/>
        </w:rPr>
        <w:t xml:space="preserve">8. </w:t>
      </w:r>
      <w:r w:rsidRPr="008A2449">
        <w:rPr>
          <w:b/>
          <w:lang w:val="ka-GE"/>
        </w:rPr>
        <w:t xml:space="preserve">ბიზნეს უნარების გაუმჯობესების მიმართულებით განსაზღვრული მომსახურებით სარგებლობისთვის მეწარმე სუბიექტი, გარდა </w:t>
      </w:r>
      <w:r w:rsidRPr="00766986">
        <w:rPr>
          <w:b/>
          <w:lang w:val="ka-GE"/>
        </w:rPr>
        <w:t>დადგენილების მე-4 მუხლის</w:t>
      </w:r>
      <w:r w:rsidRPr="008A2449">
        <w:rPr>
          <w:b/>
          <w:lang w:val="ka-GE"/>
        </w:rPr>
        <w:t xml:space="preserve"> მე-2 პუნქტით განსაზღვრულისა, უნდა აკმაყოფილებდეს შემდეგ კრიტერიუმებს:</w:t>
      </w:r>
    </w:p>
    <w:p w14:paraId="55C7F024" w14:textId="77777777" w:rsidR="005C212D" w:rsidRPr="008A2449" w:rsidRDefault="005C212D" w:rsidP="008A2449">
      <w:pPr>
        <w:jc w:val="both"/>
        <w:rPr>
          <w:lang w:val="ka-GE"/>
        </w:rPr>
      </w:pPr>
      <w:r w:rsidRPr="008A2449">
        <w:rPr>
          <w:lang w:val="ka-GE"/>
        </w:rPr>
        <w:t>ა) მისი ეკონომიკური საქმიანობა აკმაყოფილებს ამავე ბრძანების პირველი თავის მე-2 მუხლის პირველი პუნქტის „ა“ და „ბ“ ქვეპუნქტის მოთხოვნებს და</w:t>
      </w:r>
    </w:p>
    <w:p w14:paraId="72546E64" w14:textId="77777777" w:rsidR="005C212D" w:rsidRPr="008A2449" w:rsidRDefault="005C212D" w:rsidP="008A2449">
      <w:pPr>
        <w:jc w:val="both"/>
        <w:rPr>
          <w:lang w:val="ka-GE"/>
        </w:rPr>
      </w:pPr>
      <w:r w:rsidRPr="008A2449">
        <w:rPr>
          <w:lang w:val="ka-GE"/>
        </w:rPr>
        <w:t>ბ) კონკრეტულ ღონისძიებაზე დასწრების მიზნით გავლილი აქვს რეგისტრაცია საკონსულტაციო ცენტრების ოფიციალურ ვებ გვერდზე და კონკრეტულ ღონისძიებაზე დასწრების მიზნით შევსებული აქვს შესაბამისი სარეგისტრაციო ფორმა.</w:t>
      </w:r>
    </w:p>
    <w:p w14:paraId="2C1BDFF3" w14:textId="77777777" w:rsidR="005C212D" w:rsidRPr="008A2449" w:rsidRDefault="005C212D" w:rsidP="008A2449">
      <w:pPr>
        <w:jc w:val="both"/>
        <w:rPr>
          <w:lang w:val="ka-GE"/>
        </w:rPr>
      </w:pPr>
    </w:p>
    <w:p w14:paraId="446B3D3A" w14:textId="388324C5" w:rsidR="005C212D" w:rsidRPr="008A2449" w:rsidRDefault="005C212D" w:rsidP="008A2449">
      <w:pPr>
        <w:jc w:val="both"/>
        <w:rPr>
          <w:b/>
          <w:lang w:val="ka-GE"/>
        </w:rPr>
      </w:pPr>
      <w:r w:rsidRPr="00766986">
        <w:rPr>
          <w:b/>
          <w:lang w:val="ka-GE"/>
        </w:rPr>
        <w:t xml:space="preserve">მუხლი </w:t>
      </w:r>
      <w:r w:rsidR="009671C0">
        <w:rPr>
          <w:b/>
          <w:lang w:val="ka-GE"/>
        </w:rPr>
        <w:t xml:space="preserve">9. </w:t>
      </w:r>
      <w:r w:rsidRPr="00766986">
        <w:rPr>
          <w:b/>
          <w:lang w:val="ka-GE"/>
        </w:rPr>
        <w:t>ბიზნეს</w:t>
      </w:r>
      <w:r w:rsidRPr="008A2449">
        <w:rPr>
          <w:b/>
          <w:lang w:val="ka-GE"/>
        </w:rPr>
        <w:t xml:space="preserve"> უნარების გაუმჯობესების მიმართულებით განსაზღვრული მომსახურების მიღების ეტაპები</w:t>
      </w:r>
    </w:p>
    <w:p w14:paraId="6118ACA4" w14:textId="20B715FA" w:rsidR="005C212D" w:rsidRPr="008A2449" w:rsidRDefault="005C212D" w:rsidP="008A2449">
      <w:pPr>
        <w:numPr>
          <w:ilvl w:val="0"/>
          <w:numId w:val="38"/>
        </w:numPr>
        <w:jc w:val="both"/>
        <w:rPr>
          <w:lang w:val="ka-GE"/>
        </w:rPr>
      </w:pPr>
      <w:r w:rsidRPr="008A2449">
        <w:rPr>
          <w:lang w:val="ka-GE"/>
        </w:rPr>
        <w:t xml:space="preserve">ბიზნეს უნარების გაუმჯობესების მიმართულებით, ამ თავის </w:t>
      </w:r>
      <w:r w:rsidRPr="00766986">
        <w:rPr>
          <w:lang w:val="ka-GE"/>
        </w:rPr>
        <w:t>მე-</w:t>
      </w:r>
      <w:r w:rsidR="00A50B88">
        <w:rPr>
          <w:lang w:val="ka-GE"/>
        </w:rPr>
        <w:t xml:space="preserve">6 </w:t>
      </w:r>
      <w:r w:rsidRPr="00766986">
        <w:rPr>
          <w:lang w:val="ka-GE"/>
        </w:rPr>
        <w:t xml:space="preserve"> მუხლით</w:t>
      </w:r>
      <w:r w:rsidRPr="008A2449">
        <w:rPr>
          <w:lang w:val="ka-GE"/>
        </w:rPr>
        <w:t xml:space="preserve"> დადგენილ</w:t>
      </w:r>
      <w:r w:rsidR="00E6672C" w:rsidRPr="00766986">
        <w:rPr>
          <w:lang w:val="ka-GE"/>
        </w:rPr>
        <w:t>ი</w:t>
      </w:r>
      <w:r w:rsidRPr="008A2449">
        <w:rPr>
          <w:lang w:val="ka-GE"/>
        </w:rPr>
        <w:t xml:space="preserve"> მოდულების შესაბამისად სააგენტო აცხადებს ტრენინგს ან სამუშაო შეხვედრას (workshop)  რომელის შესახებ ინფორმაციაც ქვეყნდება სააგენტოს საკონსულტაციო ცენტრების ვებ-გვერდზე;</w:t>
      </w:r>
    </w:p>
    <w:p w14:paraId="0AA3EFDD" w14:textId="00729CBC" w:rsidR="005C212D" w:rsidRPr="008A2449" w:rsidRDefault="005C212D" w:rsidP="008A2449">
      <w:pPr>
        <w:numPr>
          <w:ilvl w:val="0"/>
          <w:numId w:val="38"/>
        </w:numPr>
        <w:jc w:val="both"/>
        <w:rPr>
          <w:lang w:val="ka-GE"/>
        </w:rPr>
      </w:pPr>
      <w:r w:rsidRPr="008A2449">
        <w:rPr>
          <w:lang w:val="ka-GE"/>
        </w:rPr>
        <w:t xml:space="preserve">მეწარმე სუბიექტი, რომელსაც გავლილი აქვს ბრძანების </w:t>
      </w:r>
      <w:r w:rsidRPr="00766986">
        <w:rPr>
          <w:lang w:val="ka-GE"/>
        </w:rPr>
        <w:t>მე-</w:t>
      </w:r>
      <w:r w:rsidR="007F2D62">
        <w:rPr>
          <w:lang w:val="ka-GE"/>
        </w:rPr>
        <w:t xml:space="preserve">3 </w:t>
      </w:r>
      <w:r w:rsidRPr="00766986">
        <w:rPr>
          <w:lang w:val="ka-GE"/>
        </w:rPr>
        <w:t xml:space="preserve"> მუხლის მე-2 პუნქტით</w:t>
      </w:r>
      <w:r w:rsidRPr="008A2449">
        <w:rPr>
          <w:lang w:val="ka-GE"/>
        </w:rPr>
        <w:t xml:space="preserve"> განსაზღვრული ბიზნეს დიაგნოსტიკა და გამოვლენილი საჭიროება შეესაბამება ვებ-გვერდზე გამოქვეყნებულ ტრენინგს/სამუშაო შეხვედრას (workshop), უფლებამოსილია, რეგისტრაციის გავლის შემდეგ, გამოქვეყნებულ ღონისძიებას დაესწროს დამატებითი კრიტერიუმების დაკმაყოფილების გარეშე.</w:t>
      </w:r>
    </w:p>
    <w:p w14:paraId="4E35B46C" w14:textId="366DB154" w:rsidR="005C212D" w:rsidRPr="008A2449" w:rsidRDefault="005C212D" w:rsidP="008A2449">
      <w:pPr>
        <w:numPr>
          <w:ilvl w:val="0"/>
          <w:numId w:val="38"/>
        </w:numPr>
        <w:jc w:val="both"/>
        <w:rPr>
          <w:lang w:val="ka-GE"/>
        </w:rPr>
      </w:pPr>
      <w:r w:rsidRPr="008A2449">
        <w:rPr>
          <w:lang w:val="ka-GE"/>
        </w:rPr>
        <w:t>მეწარმე სუბიექტი, რომელსაც არ აქვს გავლილი ამ ბრძანების მე-</w:t>
      </w:r>
      <w:r w:rsidR="007E3012">
        <w:rPr>
          <w:lang w:val="ka-GE"/>
        </w:rPr>
        <w:t xml:space="preserve">3 </w:t>
      </w:r>
      <w:r w:rsidRPr="008A2449">
        <w:rPr>
          <w:lang w:val="ka-GE"/>
        </w:rPr>
        <w:t xml:space="preserve"> მუხლის მე-2 პუნქტით განსაზღვრული ბიზნეს დიაგნოსტიკა მხოლოდ იმ შემთხვევაში შეძლებს ტრენინგზე/სამუშაო შეხვედრაზე (workshop) დასწრებას, თუკი ამ მუხლის მე-2 პუნქტის შესაბამისად შერჩეული მეწარმე სუბიექტებით ჯგუფის დაკომპლექტების შემდეგ კვლავ დარჩება თავისუფალი ადგილი კონკრეტულ ღონისძიებაზე, მე-</w:t>
      </w:r>
      <w:r w:rsidR="007E3012">
        <w:rPr>
          <w:lang w:val="ka-GE"/>
        </w:rPr>
        <w:t xml:space="preserve">8 </w:t>
      </w:r>
      <w:r w:rsidRPr="008A2449">
        <w:rPr>
          <w:lang w:val="ka-GE"/>
        </w:rPr>
        <w:t xml:space="preserve"> მუხლის „ბ“ პუნქტის შესაბამისად გაივლის რეგისტრაციასა და რომელიც დააკმაყოფილებს ამავე მუხლის მე-4 პუნქტის შესაბამისად კონკრეტულ ღონისძიებაზე მონაწილეობის მიღების მიზნით სააგენტოს მიერ საკონსულტაციო ცენტრების ოფიციალურ ვებ გვერდზე გამოქვეყნებულ დამატებით კრიტერიუმებს.</w:t>
      </w:r>
    </w:p>
    <w:p w14:paraId="7D57637B" w14:textId="77777777" w:rsidR="005C212D" w:rsidRPr="008A2449" w:rsidRDefault="005C212D" w:rsidP="008A2449">
      <w:pPr>
        <w:numPr>
          <w:ilvl w:val="0"/>
          <w:numId w:val="38"/>
        </w:numPr>
        <w:jc w:val="both"/>
        <w:rPr>
          <w:lang w:val="ka-GE"/>
        </w:rPr>
      </w:pPr>
      <w:r w:rsidRPr="008A2449">
        <w:rPr>
          <w:lang w:val="ka-GE"/>
        </w:rPr>
        <w:t>კონკრეტულ ღონისძიებაზე მონაწილეობის პირობები განისაზღვრება სააგენტოს მიერ და ქვეყნდება საკონსულტაციო ცენტრების ოფიციალურ ვებ გვერდზე.</w:t>
      </w:r>
    </w:p>
    <w:p w14:paraId="1C905421" w14:textId="77777777" w:rsidR="005C212D" w:rsidRPr="008A2449" w:rsidRDefault="005C212D" w:rsidP="008A2449">
      <w:pPr>
        <w:jc w:val="both"/>
        <w:rPr>
          <w:lang w:val="ka-GE"/>
        </w:rPr>
      </w:pPr>
    </w:p>
    <w:p w14:paraId="67F845EF" w14:textId="77777777" w:rsidR="005C212D" w:rsidRPr="008A2449" w:rsidRDefault="005C212D" w:rsidP="008A2449">
      <w:pPr>
        <w:jc w:val="both"/>
        <w:rPr>
          <w:b/>
          <w:lang w:val="ka-GE"/>
        </w:rPr>
      </w:pPr>
      <w:r w:rsidRPr="008A2449">
        <w:rPr>
          <w:b/>
          <w:lang w:val="ka-GE"/>
        </w:rPr>
        <w:lastRenderedPageBreak/>
        <w:tab/>
      </w:r>
    </w:p>
    <w:p w14:paraId="219824C3" w14:textId="5BECCEC1" w:rsidR="005C212D" w:rsidRPr="008A2449" w:rsidRDefault="005C212D" w:rsidP="001F1A77">
      <w:pPr>
        <w:jc w:val="center"/>
        <w:rPr>
          <w:b/>
          <w:lang w:val="ka-GE"/>
        </w:rPr>
      </w:pPr>
      <w:r w:rsidRPr="008A2449">
        <w:rPr>
          <w:b/>
          <w:lang w:val="ka-GE"/>
        </w:rPr>
        <w:t>თავი III</w:t>
      </w:r>
    </w:p>
    <w:p w14:paraId="64C70FF9" w14:textId="77777777" w:rsidR="005C212D" w:rsidRPr="008A2449" w:rsidRDefault="005C212D" w:rsidP="005C212D">
      <w:pPr>
        <w:jc w:val="center"/>
        <w:rPr>
          <w:b/>
          <w:lang w:val="ka-GE"/>
        </w:rPr>
      </w:pPr>
      <w:r w:rsidRPr="008A2449">
        <w:rPr>
          <w:b/>
          <w:lang w:val="ka-GE"/>
        </w:rPr>
        <w:t>საინფორმაციო მომსახურების მიმართულება</w:t>
      </w:r>
    </w:p>
    <w:p w14:paraId="43BCBA12" w14:textId="77777777" w:rsidR="005C212D" w:rsidRPr="008A2449" w:rsidRDefault="005C212D" w:rsidP="008A2449">
      <w:pPr>
        <w:jc w:val="both"/>
        <w:rPr>
          <w:lang w:val="ka-GE"/>
        </w:rPr>
      </w:pPr>
      <w:r w:rsidRPr="008A2449">
        <w:rPr>
          <w:lang w:val="ka-GE"/>
        </w:rPr>
        <w:t>საინფორმაციო მომსახურების გაწევა მოიცავს, ერთი მხრივ, ურთიერთობის და თანამშრომლობის დამყარებას, როგორც ადგილობრივ მუნიციპალურ ორგანოებთან, ასევე სხვადასხვა ბიზნესის მხარდამჭერ უწყებებთან, დონორ ორგანიზაციებთან, არასამთავრობო ორგანიზაციებთან, ხოლო მეორე მხრივ, მეწარმე სუბიექტისათვის სრულყოფილი ინფორმაციის მიწოდებას, მათ შორის და არა მხოლოდ, ბიზნესის მხარდაჭერის პროგრამების, ბიზნეს სფეროს სიახლეებისა თუ სექტორული კვლევების თაობაზე. ამ თავით გათვალისწინებული მომსახურებით სარგებლობა შეუძლია დადგენილების პირველი მუხლის „ე“ პუნქტით განსაზღვრულ მეწარმე სუბიექტებს.</w:t>
      </w:r>
    </w:p>
    <w:p w14:paraId="3A3B0C9F" w14:textId="77777777" w:rsidR="005C212D" w:rsidRPr="008A2449" w:rsidRDefault="005C212D" w:rsidP="008A2449">
      <w:pPr>
        <w:jc w:val="both"/>
        <w:rPr>
          <w:lang w:val="ka-GE"/>
        </w:rPr>
      </w:pPr>
    </w:p>
    <w:p w14:paraId="065FFF90" w14:textId="2938BDA8" w:rsidR="005C212D" w:rsidRPr="008A2449" w:rsidRDefault="005C212D" w:rsidP="008A2449">
      <w:pPr>
        <w:jc w:val="both"/>
        <w:rPr>
          <w:b/>
          <w:lang w:val="ka-GE"/>
        </w:rPr>
      </w:pPr>
      <w:r w:rsidRPr="008A2449">
        <w:rPr>
          <w:b/>
          <w:lang w:val="ka-GE"/>
        </w:rPr>
        <w:t xml:space="preserve">მუხლი </w:t>
      </w:r>
      <w:r w:rsidR="00794F3A">
        <w:rPr>
          <w:b/>
          <w:lang w:val="ka-GE"/>
        </w:rPr>
        <w:t xml:space="preserve">10. </w:t>
      </w:r>
      <w:r w:rsidRPr="008A2449">
        <w:rPr>
          <w:b/>
          <w:lang w:val="ka-GE"/>
        </w:rPr>
        <w:t xml:space="preserve"> საინფორმაციო მომსახურების მიმართულების ფარგლებში მეწარმე სუბიექტისთვის მისაწოდებელი მომსახურებები:</w:t>
      </w:r>
    </w:p>
    <w:p w14:paraId="2BDBFBF3" w14:textId="77777777" w:rsidR="005C212D" w:rsidRPr="008A2449" w:rsidRDefault="005C212D" w:rsidP="008A2449">
      <w:pPr>
        <w:jc w:val="both"/>
        <w:rPr>
          <w:lang w:val="ka-GE"/>
        </w:rPr>
      </w:pPr>
      <w:r w:rsidRPr="008A2449">
        <w:rPr>
          <w:lang w:val="ka-GE"/>
        </w:rPr>
        <w:t>ა) საკონსულტაციო ცენტრის ოფისებში რეგიონის თანამშრომლის მიერ საინფორმაციო მომსახურების მიწოდება;</w:t>
      </w:r>
    </w:p>
    <w:p w14:paraId="315D5B71" w14:textId="77777777" w:rsidR="005C212D" w:rsidRPr="008A2449" w:rsidRDefault="005C212D" w:rsidP="008A2449">
      <w:pPr>
        <w:jc w:val="both"/>
        <w:rPr>
          <w:lang w:val="ka-GE"/>
        </w:rPr>
      </w:pPr>
      <w:r w:rsidRPr="008A2449">
        <w:rPr>
          <w:lang w:val="ka-GE"/>
        </w:rPr>
        <w:t>ბ) ბიზნეს სექტორში არსებულ სიახლეებსა და პროექტებზე ინფორმაციის მიწოდება საკონსულტაციო ცენტრების ოფიციალური ვებ გვერდის საშუალებით.</w:t>
      </w:r>
    </w:p>
    <w:p w14:paraId="6589C06F" w14:textId="77777777" w:rsidR="005C212D" w:rsidRPr="008A2449" w:rsidRDefault="005C212D" w:rsidP="008A2449">
      <w:pPr>
        <w:jc w:val="both"/>
        <w:rPr>
          <w:lang w:val="ka-GE"/>
        </w:rPr>
      </w:pPr>
      <w:r w:rsidRPr="008A2449">
        <w:rPr>
          <w:lang w:val="ka-GE"/>
        </w:rPr>
        <w:t>გ) საკონსულტაციო ცენტრის ოფისის სამუშაო სივრცის, კომპიუტერული მოწყობილობებისა და ინტერნეტის გამოყენება.</w:t>
      </w:r>
    </w:p>
    <w:p w14:paraId="70A85FFA" w14:textId="77777777" w:rsidR="005C212D" w:rsidRPr="008A2449" w:rsidRDefault="005C212D" w:rsidP="005C212D">
      <w:pPr>
        <w:rPr>
          <w:lang w:val="ka-GE"/>
        </w:rPr>
      </w:pPr>
    </w:p>
    <w:p w14:paraId="0676EB1E" w14:textId="77777777" w:rsidR="005C212D" w:rsidRPr="008A2449" w:rsidRDefault="005C212D" w:rsidP="005C212D">
      <w:pPr>
        <w:rPr>
          <w:lang w:val="ka-GE"/>
        </w:rPr>
      </w:pPr>
    </w:p>
    <w:p w14:paraId="1B268397" w14:textId="77777777" w:rsidR="005C212D" w:rsidRPr="008A2449" w:rsidRDefault="005C212D" w:rsidP="005C212D">
      <w:pPr>
        <w:rPr>
          <w:lang w:val="ka-GE"/>
        </w:rPr>
      </w:pPr>
    </w:p>
    <w:p w14:paraId="2F92F958" w14:textId="77777777" w:rsidR="005C212D" w:rsidRPr="008A2449" w:rsidRDefault="005C212D" w:rsidP="005C212D">
      <w:pPr>
        <w:rPr>
          <w:b/>
          <w:lang w:val="ka-GE"/>
        </w:rPr>
      </w:pPr>
    </w:p>
    <w:p w14:paraId="5C667E0B" w14:textId="645AD59F" w:rsidR="003C0AD2" w:rsidRPr="008A2449" w:rsidRDefault="003C0AD2" w:rsidP="005C212D">
      <w:pPr>
        <w:rPr>
          <w:lang w:val="ka-GE"/>
        </w:rPr>
      </w:pPr>
    </w:p>
    <w:sectPr w:rsidR="003C0AD2" w:rsidRPr="008A24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8B58" w14:textId="77777777" w:rsidR="00E67A5C" w:rsidRDefault="00E67A5C" w:rsidP="008A037C">
      <w:pPr>
        <w:spacing w:after="0" w:line="240" w:lineRule="auto"/>
      </w:pPr>
      <w:r>
        <w:separator/>
      </w:r>
    </w:p>
  </w:endnote>
  <w:endnote w:type="continuationSeparator" w:id="0">
    <w:p w14:paraId="5828C9BC" w14:textId="77777777" w:rsidR="00E67A5C" w:rsidRDefault="00E67A5C" w:rsidP="008A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91370"/>
      <w:docPartObj>
        <w:docPartGallery w:val="Page Numbers (Bottom of Page)"/>
        <w:docPartUnique/>
      </w:docPartObj>
    </w:sdtPr>
    <w:sdtEndPr>
      <w:rPr>
        <w:rFonts w:ascii="Sylfaen" w:hAnsi="Sylfaen"/>
        <w:noProof/>
      </w:rPr>
    </w:sdtEndPr>
    <w:sdtContent>
      <w:p w14:paraId="0B31D9EC" w14:textId="00D89979" w:rsidR="00E83682" w:rsidRPr="00C4152C" w:rsidRDefault="00E83682">
        <w:pPr>
          <w:pStyle w:val="Footer"/>
          <w:jc w:val="right"/>
          <w:rPr>
            <w:rFonts w:ascii="Sylfaen" w:hAnsi="Sylfaen"/>
          </w:rPr>
        </w:pPr>
        <w:r w:rsidRPr="00C4152C">
          <w:rPr>
            <w:rFonts w:ascii="Sylfaen" w:hAnsi="Sylfaen"/>
          </w:rPr>
          <w:fldChar w:fldCharType="begin"/>
        </w:r>
        <w:r w:rsidRPr="00C4152C">
          <w:rPr>
            <w:rFonts w:ascii="Sylfaen" w:hAnsi="Sylfaen"/>
          </w:rPr>
          <w:instrText xml:space="preserve"> PAGE   \* MERGEFORMAT </w:instrText>
        </w:r>
        <w:r w:rsidRPr="00C4152C">
          <w:rPr>
            <w:rFonts w:ascii="Sylfaen" w:hAnsi="Sylfaen"/>
          </w:rPr>
          <w:fldChar w:fldCharType="separate"/>
        </w:r>
        <w:r w:rsidR="00371B66">
          <w:rPr>
            <w:rFonts w:ascii="Sylfaen" w:hAnsi="Sylfaen"/>
            <w:noProof/>
          </w:rPr>
          <w:t>1</w:t>
        </w:r>
        <w:r w:rsidRPr="00C4152C">
          <w:rPr>
            <w:rFonts w:ascii="Sylfaen" w:hAnsi="Sylfaen"/>
            <w:noProof/>
          </w:rPr>
          <w:fldChar w:fldCharType="end"/>
        </w:r>
      </w:p>
    </w:sdtContent>
  </w:sdt>
  <w:p w14:paraId="41FB90DE" w14:textId="77777777" w:rsidR="00E83682" w:rsidRDefault="00E8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F819" w14:textId="77777777" w:rsidR="00E67A5C" w:rsidRDefault="00E67A5C" w:rsidP="008A037C">
      <w:pPr>
        <w:spacing w:after="0" w:line="240" w:lineRule="auto"/>
      </w:pPr>
      <w:r>
        <w:separator/>
      </w:r>
    </w:p>
  </w:footnote>
  <w:footnote w:type="continuationSeparator" w:id="0">
    <w:p w14:paraId="58952282" w14:textId="77777777" w:rsidR="00E67A5C" w:rsidRDefault="00E67A5C" w:rsidP="008A037C">
      <w:pPr>
        <w:spacing w:after="0" w:line="240" w:lineRule="auto"/>
      </w:pPr>
      <w:r>
        <w:continuationSeparator/>
      </w:r>
    </w:p>
  </w:footnote>
  <w:footnote w:id="1">
    <w:p w14:paraId="3474755E" w14:textId="77777777" w:rsidR="005C212D" w:rsidRPr="005C212D" w:rsidRDefault="005C212D" w:rsidP="005C212D">
      <w:pPr>
        <w:pStyle w:val="FootnoteText"/>
        <w:jc w:val="both"/>
        <w:rPr>
          <w:rFonts w:cstheme="minorHAnsi"/>
          <w:sz w:val="18"/>
          <w:szCs w:val="18"/>
          <w:lang w:val="ka-GE"/>
        </w:rPr>
      </w:pPr>
      <w:r w:rsidRPr="005C212D">
        <w:rPr>
          <w:rStyle w:val="FootnoteReference"/>
          <w:rFonts w:cstheme="minorHAnsi"/>
          <w:sz w:val="18"/>
          <w:szCs w:val="18"/>
        </w:rPr>
        <w:footnoteRef/>
      </w:r>
      <w:r w:rsidRPr="005C212D">
        <w:rPr>
          <w:rFonts w:cstheme="minorHAnsi"/>
          <w:sz w:val="18"/>
          <w:szCs w:val="18"/>
        </w:rPr>
        <w:t xml:space="preserve"> </w:t>
      </w:r>
      <w:r w:rsidRPr="005C212D">
        <w:rPr>
          <w:rFonts w:cstheme="minorHAnsi"/>
          <w:sz w:val="18"/>
          <w:szCs w:val="18"/>
          <w:lang w:val="ka-GE"/>
        </w:rPr>
        <w:t xml:space="preserve">ბიზნესის განხორციელების ადგილი დგინდება სამეწარმეო საქმიანობის განხორციელების ფაქტობრივი მისამართის შესაბამისად. </w:t>
      </w:r>
    </w:p>
  </w:footnote>
  <w:footnote w:id="2">
    <w:p w14:paraId="72C76D2A" w14:textId="77777777" w:rsidR="005C212D" w:rsidRPr="008A2449" w:rsidRDefault="005C212D" w:rsidP="005C212D">
      <w:pPr>
        <w:pStyle w:val="FootnoteText"/>
        <w:jc w:val="both"/>
        <w:rPr>
          <w:rFonts w:cstheme="minorHAnsi"/>
          <w:sz w:val="18"/>
          <w:szCs w:val="18"/>
          <w:lang w:val="ka-GE"/>
        </w:rPr>
      </w:pPr>
      <w:r w:rsidRPr="008A2449">
        <w:rPr>
          <w:rStyle w:val="FootnoteReference"/>
          <w:rFonts w:cstheme="minorHAnsi"/>
          <w:sz w:val="18"/>
          <w:szCs w:val="18"/>
        </w:rPr>
        <w:footnoteRef/>
      </w:r>
      <w:r w:rsidRPr="008A2449">
        <w:rPr>
          <w:rFonts w:cstheme="minorHAnsi"/>
          <w:sz w:val="18"/>
          <w:szCs w:val="18"/>
        </w:rPr>
        <w:t xml:space="preserve"> </w:t>
      </w:r>
      <w:r w:rsidRPr="008A2449">
        <w:rPr>
          <w:rFonts w:cstheme="minorHAnsi"/>
          <w:sz w:val="18"/>
          <w:szCs w:val="18"/>
          <w:lang w:val="ka-GE"/>
        </w:rPr>
        <w:t>დამატებით შესაძლოა განისაზღვროს ბიზნეს უნარების გაუმჯობესების მიმართულებით განსაზღვრული მომსახურებების მიწოდების სხვა მეთოდი.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B52"/>
    <w:multiLevelType w:val="hybridMultilevel"/>
    <w:tmpl w:val="442E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6558"/>
    <w:multiLevelType w:val="hybridMultilevel"/>
    <w:tmpl w:val="193207A4"/>
    <w:lvl w:ilvl="0" w:tplc="891C899E">
      <w:start w:val="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29D"/>
    <w:multiLevelType w:val="hybridMultilevel"/>
    <w:tmpl w:val="6D0A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3957"/>
    <w:multiLevelType w:val="hybridMultilevel"/>
    <w:tmpl w:val="472CC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3905"/>
    <w:multiLevelType w:val="hybridMultilevel"/>
    <w:tmpl w:val="EA7A0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90B1F"/>
    <w:multiLevelType w:val="hybridMultilevel"/>
    <w:tmpl w:val="4F6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13BA"/>
    <w:multiLevelType w:val="hybridMultilevel"/>
    <w:tmpl w:val="31D63DA8"/>
    <w:lvl w:ilvl="0" w:tplc="0B029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E1790"/>
    <w:multiLevelType w:val="hybridMultilevel"/>
    <w:tmpl w:val="7E643E54"/>
    <w:lvl w:ilvl="0" w:tplc="E3B09068">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B2303"/>
    <w:multiLevelType w:val="multilevel"/>
    <w:tmpl w:val="68CE3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222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0195E"/>
    <w:multiLevelType w:val="hybridMultilevel"/>
    <w:tmpl w:val="5FEA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E76E8"/>
    <w:multiLevelType w:val="hybridMultilevel"/>
    <w:tmpl w:val="8362C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264E1"/>
    <w:multiLevelType w:val="hybridMultilevel"/>
    <w:tmpl w:val="B26E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816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1612A1"/>
    <w:multiLevelType w:val="hybridMultilevel"/>
    <w:tmpl w:val="E41C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A780E"/>
    <w:multiLevelType w:val="hybridMultilevel"/>
    <w:tmpl w:val="FD06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22BF8"/>
    <w:multiLevelType w:val="hybridMultilevel"/>
    <w:tmpl w:val="AC52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24733"/>
    <w:multiLevelType w:val="hybridMultilevel"/>
    <w:tmpl w:val="76F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1541"/>
    <w:multiLevelType w:val="hybridMultilevel"/>
    <w:tmpl w:val="184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646BE"/>
    <w:multiLevelType w:val="hybridMultilevel"/>
    <w:tmpl w:val="383480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861632C"/>
    <w:multiLevelType w:val="hybridMultilevel"/>
    <w:tmpl w:val="AC34BFBE"/>
    <w:lvl w:ilvl="0" w:tplc="973A03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068E3"/>
    <w:multiLevelType w:val="hybridMultilevel"/>
    <w:tmpl w:val="8B4C5B58"/>
    <w:lvl w:ilvl="0" w:tplc="05109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F646D"/>
    <w:multiLevelType w:val="hybridMultilevel"/>
    <w:tmpl w:val="D2D2477E"/>
    <w:lvl w:ilvl="0" w:tplc="0409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4F67633F"/>
    <w:multiLevelType w:val="hybridMultilevel"/>
    <w:tmpl w:val="2EE68460"/>
    <w:lvl w:ilvl="0" w:tplc="6C1A8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118F2"/>
    <w:multiLevelType w:val="hybridMultilevel"/>
    <w:tmpl w:val="4132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A67A2"/>
    <w:multiLevelType w:val="hybridMultilevel"/>
    <w:tmpl w:val="6484801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06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EF342F"/>
    <w:multiLevelType w:val="hybridMultilevel"/>
    <w:tmpl w:val="83EA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DBB"/>
    <w:multiLevelType w:val="multilevel"/>
    <w:tmpl w:val="EBC2FDA8"/>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BC7516"/>
    <w:multiLevelType w:val="hybridMultilevel"/>
    <w:tmpl w:val="266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B6538"/>
    <w:multiLevelType w:val="hybridMultilevel"/>
    <w:tmpl w:val="715AF5F0"/>
    <w:lvl w:ilvl="0" w:tplc="EFB241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C07E1"/>
    <w:multiLevelType w:val="hybridMultilevel"/>
    <w:tmpl w:val="C572374C"/>
    <w:lvl w:ilvl="0" w:tplc="9CBA1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C1ED6"/>
    <w:multiLevelType w:val="hybridMultilevel"/>
    <w:tmpl w:val="C3D0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40962"/>
    <w:multiLevelType w:val="hybridMultilevel"/>
    <w:tmpl w:val="B32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E7956"/>
    <w:multiLevelType w:val="hybridMultilevel"/>
    <w:tmpl w:val="C79EA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7559A"/>
    <w:multiLevelType w:val="hybridMultilevel"/>
    <w:tmpl w:val="83608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01DDB"/>
    <w:multiLevelType w:val="hybridMultilevel"/>
    <w:tmpl w:val="C07CCACE"/>
    <w:lvl w:ilvl="0" w:tplc="1EE493A6">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F2051"/>
    <w:multiLevelType w:val="hybridMultilevel"/>
    <w:tmpl w:val="8362C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57C9A"/>
    <w:multiLevelType w:val="hybridMultilevel"/>
    <w:tmpl w:val="70AC12FC"/>
    <w:lvl w:ilvl="0" w:tplc="0409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9" w15:restartNumberingAfterBreak="0">
    <w:nsid w:val="781B79C8"/>
    <w:multiLevelType w:val="hybridMultilevel"/>
    <w:tmpl w:val="4FB2D1CA"/>
    <w:lvl w:ilvl="0" w:tplc="28EC449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51C12"/>
    <w:multiLevelType w:val="hybridMultilevel"/>
    <w:tmpl w:val="6BF634BE"/>
    <w:lvl w:ilvl="0" w:tplc="A9A23BC6">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7FCA3643"/>
    <w:multiLevelType w:val="hybridMultilevel"/>
    <w:tmpl w:val="67B878A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9"/>
  </w:num>
  <w:num w:numId="4">
    <w:abstractNumId w:val="40"/>
  </w:num>
  <w:num w:numId="5">
    <w:abstractNumId w:val="4"/>
  </w:num>
  <w:num w:numId="6">
    <w:abstractNumId w:val="19"/>
  </w:num>
  <w:num w:numId="7">
    <w:abstractNumId w:val="34"/>
  </w:num>
  <w:num w:numId="8">
    <w:abstractNumId w:val="8"/>
  </w:num>
  <w:num w:numId="9">
    <w:abstractNumId w:val="3"/>
  </w:num>
  <w:num w:numId="10">
    <w:abstractNumId w:val="35"/>
  </w:num>
  <w:num w:numId="11">
    <w:abstractNumId w:val="23"/>
  </w:num>
  <w:num w:numId="12">
    <w:abstractNumId w:val="28"/>
  </w:num>
  <w:num w:numId="13">
    <w:abstractNumId w:val="11"/>
  </w:num>
  <w:num w:numId="14">
    <w:abstractNumId w:val="16"/>
  </w:num>
  <w:num w:numId="15">
    <w:abstractNumId w:val="7"/>
  </w:num>
  <w:num w:numId="16">
    <w:abstractNumId w:val="37"/>
  </w:num>
  <w:num w:numId="17">
    <w:abstractNumId w:val="39"/>
  </w:num>
  <w:num w:numId="18">
    <w:abstractNumId w:val="41"/>
  </w:num>
  <w:num w:numId="19">
    <w:abstractNumId w:val="25"/>
  </w:num>
  <w:num w:numId="20">
    <w:abstractNumId w:val="12"/>
  </w:num>
  <w:num w:numId="21">
    <w:abstractNumId w:val="38"/>
  </w:num>
  <w:num w:numId="22">
    <w:abstractNumId w:val="22"/>
  </w:num>
  <w:num w:numId="23">
    <w:abstractNumId w:val="17"/>
  </w:num>
  <w:num w:numId="24">
    <w:abstractNumId w:val="24"/>
  </w:num>
  <w:num w:numId="25">
    <w:abstractNumId w:val="13"/>
  </w:num>
  <w:num w:numId="26">
    <w:abstractNumId w:val="9"/>
  </w:num>
  <w:num w:numId="27">
    <w:abstractNumId w:val="26"/>
  </w:num>
  <w:num w:numId="28">
    <w:abstractNumId w:val="36"/>
  </w:num>
  <w:num w:numId="29">
    <w:abstractNumId w:val="27"/>
  </w:num>
  <w:num w:numId="30">
    <w:abstractNumId w:val="31"/>
  </w:num>
  <w:num w:numId="31">
    <w:abstractNumId w:val="5"/>
  </w:num>
  <w:num w:numId="32">
    <w:abstractNumId w:val="6"/>
  </w:num>
  <w:num w:numId="33">
    <w:abstractNumId w:val="14"/>
  </w:num>
  <w:num w:numId="34">
    <w:abstractNumId w:val="2"/>
  </w:num>
  <w:num w:numId="35">
    <w:abstractNumId w:val="1"/>
  </w:num>
  <w:num w:numId="36">
    <w:abstractNumId w:val="15"/>
  </w:num>
  <w:num w:numId="37">
    <w:abstractNumId w:val="32"/>
  </w:num>
  <w:num w:numId="38">
    <w:abstractNumId w:val="33"/>
  </w:num>
  <w:num w:numId="39">
    <w:abstractNumId w:val="21"/>
  </w:num>
  <w:num w:numId="40">
    <w:abstractNumId w:val="30"/>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60"/>
    <w:rsid w:val="00021248"/>
    <w:rsid w:val="00036BBB"/>
    <w:rsid w:val="0003765C"/>
    <w:rsid w:val="00044EAE"/>
    <w:rsid w:val="0005007E"/>
    <w:rsid w:val="0005308B"/>
    <w:rsid w:val="00053BD6"/>
    <w:rsid w:val="00060721"/>
    <w:rsid w:val="00062A62"/>
    <w:rsid w:val="00064DB0"/>
    <w:rsid w:val="00065F01"/>
    <w:rsid w:val="0006767E"/>
    <w:rsid w:val="000925F0"/>
    <w:rsid w:val="00092608"/>
    <w:rsid w:val="00093905"/>
    <w:rsid w:val="000A003D"/>
    <w:rsid w:val="000A16D5"/>
    <w:rsid w:val="000A18A2"/>
    <w:rsid w:val="000B0305"/>
    <w:rsid w:val="000B2B6B"/>
    <w:rsid w:val="000B59FC"/>
    <w:rsid w:val="000B68D4"/>
    <w:rsid w:val="000C26B3"/>
    <w:rsid w:val="000D347A"/>
    <w:rsid w:val="000E489C"/>
    <w:rsid w:val="000F2285"/>
    <w:rsid w:val="000F6E15"/>
    <w:rsid w:val="00105BD7"/>
    <w:rsid w:val="00106015"/>
    <w:rsid w:val="0013683F"/>
    <w:rsid w:val="00143DB4"/>
    <w:rsid w:val="00144A10"/>
    <w:rsid w:val="00146AEA"/>
    <w:rsid w:val="00151300"/>
    <w:rsid w:val="00156FE5"/>
    <w:rsid w:val="00163B95"/>
    <w:rsid w:val="00165C8D"/>
    <w:rsid w:val="00166557"/>
    <w:rsid w:val="00167147"/>
    <w:rsid w:val="00185162"/>
    <w:rsid w:val="0019304E"/>
    <w:rsid w:val="001A6291"/>
    <w:rsid w:val="001B6507"/>
    <w:rsid w:val="001C32D1"/>
    <w:rsid w:val="001C7D67"/>
    <w:rsid w:val="001D0614"/>
    <w:rsid w:val="001F1A77"/>
    <w:rsid w:val="001F1CDE"/>
    <w:rsid w:val="001F75D1"/>
    <w:rsid w:val="00204F1E"/>
    <w:rsid w:val="00205053"/>
    <w:rsid w:val="00205174"/>
    <w:rsid w:val="002051AF"/>
    <w:rsid w:val="002120CC"/>
    <w:rsid w:val="00224643"/>
    <w:rsid w:val="00236181"/>
    <w:rsid w:val="00237C4C"/>
    <w:rsid w:val="002414BB"/>
    <w:rsid w:val="00247752"/>
    <w:rsid w:val="00251045"/>
    <w:rsid w:val="002524AB"/>
    <w:rsid w:val="00252AFC"/>
    <w:rsid w:val="00253EC8"/>
    <w:rsid w:val="0025415C"/>
    <w:rsid w:val="002608F3"/>
    <w:rsid w:val="00262D41"/>
    <w:rsid w:val="002630E4"/>
    <w:rsid w:val="00267F38"/>
    <w:rsid w:val="00293509"/>
    <w:rsid w:val="00293F41"/>
    <w:rsid w:val="00294DBC"/>
    <w:rsid w:val="002A0160"/>
    <w:rsid w:val="002A525D"/>
    <w:rsid w:val="002B4A1B"/>
    <w:rsid w:val="002B67C7"/>
    <w:rsid w:val="002C36C5"/>
    <w:rsid w:val="002C3AED"/>
    <w:rsid w:val="002E5E9D"/>
    <w:rsid w:val="002F3655"/>
    <w:rsid w:val="00303A3A"/>
    <w:rsid w:val="00304F8D"/>
    <w:rsid w:val="003105DE"/>
    <w:rsid w:val="003112E3"/>
    <w:rsid w:val="00322510"/>
    <w:rsid w:val="00326AC2"/>
    <w:rsid w:val="00335B7C"/>
    <w:rsid w:val="003375AF"/>
    <w:rsid w:val="00342947"/>
    <w:rsid w:val="0034427B"/>
    <w:rsid w:val="003457A2"/>
    <w:rsid w:val="00350CB5"/>
    <w:rsid w:val="00360302"/>
    <w:rsid w:val="00363F86"/>
    <w:rsid w:val="00371B66"/>
    <w:rsid w:val="00377567"/>
    <w:rsid w:val="0038238D"/>
    <w:rsid w:val="00385E37"/>
    <w:rsid w:val="00387D56"/>
    <w:rsid w:val="003C0AD2"/>
    <w:rsid w:val="003C1111"/>
    <w:rsid w:val="003C1AA1"/>
    <w:rsid w:val="003C5EBA"/>
    <w:rsid w:val="003C79AD"/>
    <w:rsid w:val="003D1326"/>
    <w:rsid w:val="003D2D92"/>
    <w:rsid w:val="003E63B0"/>
    <w:rsid w:val="00400633"/>
    <w:rsid w:val="00404FB6"/>
    <w:rsid w:val="004104F1"/>
    <w:rsid w:val="00411C73"/>
    <w:rsid w:val="00420016"/>
    <w:rsid w:val="004271DD"/>
    <w:rsid w:val="00430F4F"/>
    <w:rsid w:val="00431FD3"/>
    <w:rsid w:val="00437D8B"/>
    <w:rsid w:val="004571B6"/>
    <w:rsid w:val="00474127"/>
    <w:rsid w:val="00474FD4"/>
    <w:rsid w:val="004813CE"/>
    <w:rsid w:val="0048313C"/>
    <w:rsid w:val="00490B74"/>
    <w:rsid w:val="00490F85"/>
    <w:rsid w:val="004961FF"/>
    <w:rsid w:val="004A04CF"/>
    <w:rsid w:val="004B1433"/>
    <w:rsid w:val="004B7809"/>
    <w:rsid w:val="004E28C9"/>
    <w:rsid w:val="00505CBA"/>
    <w:rsid w:val="00511005"/>
    <w:rsid w:val="00525E65"/>
    <w:rsid w:val="00525EE8"/>
    <w:rsid w:val="005338F3"/>
    <w:rsid w:val="00533F29"/>
    <w:rsid w:val="00537446"/>
    <w:rsid w:val="00542FB2"/>
    <w:rsid w:val="00546C1B"/>
    <w:rsid w:val="00552821"/>
    <w:rsid w:val="00560FFF"/>
    <w:rsid w:val="00561059"/>
    <w:rsid w:val="00565744"/>
    <w:rsid w:val="00570480"/>
    <w:rsid w:val="0057077E"/>
    <w:rsid w:val="0057170C"/>
    <w:rsid w:val="005746D7"/>
    <w:rsid w:val="005873F6"/>
    <w:rsid w:val="005927AC"/>
    <w:rsid w:val="005B4C0E"/>
    <w:rsid w:val="005C212D"/>
    <w:rsid w:val="005C3F07"/>
    <w:rsid w:val="005C6960"/>
    <w:rsid w:val="005C6F69"/>
    <w:rsid w:val="005D2959"/>
    <w:rsid w:val="005F2FE5"/>
    <w:rsid w:val="005F3C3A"/>
    <w:rsid w:val="005F64FA"/>
    <w:rsid w:val="005F7A1C"/>
    <w:rsid w:val="00601E4C"/>
    <w:rsid w:val="00605129"/>
    <w:rsid w:val="00620976"/>
    <w:rsid w:val="00621C58"/>
    <w:rsid w:val="00621E7D"/>
    <w:rsid w:val="00624101"/>
    <w:rsid w:val="00632761"/>
    <w:rsid w:val="00634CC8"/>
    <w:rsid w:val="00644728"/>
    <w:rsid w:val="0064485A"/>
    <w:rsid w:val="00647AF7"/>
    <w:rsid w:val="006505CF"/>
    <w:rsid w:val="00653E31"/>
    <w:rsid w:val="00654244"/>
    <w:rsid w:val="006554F6"/>
    <w:rsid w:val="00656A7D"/>
    <w:rsid w:val="00663801"/>
    <w:rsid w:val="00663A02"/>
    <w:rsid w:val="006643F6"/>
    <w:rsid w:val="00665EC5"/>
    <w:rsid w:val="00670C79"/>
    <w:rsid w:val="00672C22"/>
    <w:rsid w:val="00680949"/>
    <w:rsid w:val="006941E4"/>
    <w:rsid w:val="00695BA3"/>
    <w:rsid w:val="006C0772"/>
    <w:rsid w:val="006D19D1"/>
    <w:rsid w:val="006E5C97"/>
    <w:rsid w:val="006F1EC2"/>
    <w:rsid w:val="00704BCC"/>
    <w:rsid w:val="00721C64"/>
    <w:rsid w:val="00722417"/>
    <w:rsid w:val="00723EAB"/>
    <w:rsid w:val="00724834"/>
    <w:rsid w:val="0073241F"/>
    <w:rsid w:val="00732F1C"/>
    <w:rsid w:val="0073477E"/>
    <w:rsid w:val="0073526B"/>
    <w:rsid w:val="00747759"/>
    <w:rsid w:val="00751293"/>
    <w:rsid w:val="00754AFE"/>
    <w:rsid w:val="00766986"/>
    <w:rsid w:val="007808C0"/>
    <w:rsid w:val="00780D03"/>
    <w:rsid w:val="00780D77"/>
    <w:rsid w:val="007919EA"/>
    <w:rsid w:val="00794F3A"/>
    <w:rsid w:val="007C073A"/>
    <w:rsid w:val="007C0AC8"/>
    <w:rsid w:val="007C67E5"/>
    <w:rsid w:val="007D496F"/>
    <w:rsid w:val="007D703F"/>
    <w:rsid w:val="007E1603"/>
    <w:rsid w:val="007E3012"/>
    <w:rsid w:val="007E5FC9"/>
    <w:rsid w:val="007F2D62"/>
    <w:rsid w:val="007F5103"/>
    <w:rsid w:val="0080351E"/>
    <w:rsid w:val="008035C0"/>
    <w:rsid w:val="00826644"/>
    <w:rsid w:val="00827137"/>
    <w:rsid w:val="0083241B"/>
    <w:rsid w:val="00833BB8"/>
    <w:rsid w:val="008424E2"/>
    <w:rsid w:val="008426C2"/>
    <w:rsid w:val="008435FF"/>
    <w:rsid w:val="00853062"/>
    <w:rsid w:val="00855631"/>
    <w:rsid w:val="00860BA9"/>
    <w:rsid w:val="0086570C"/>
    <w:rsid w:val="00874ADF"/>
    <w:rsid w:val="00874F0C"/>
    <w:rsid w:val="00891C92"/>
    <w:rsid w:val="00895DB4"/>
    <w:rsid w:val="00897BD7"/>
    <w:rsid w:val="008A037C"/>
    <w:rsid w:val="008A2449"/>
    <w:rsid w:val="008A4D8C"/>
    <w:rsid w:val="008B0A0F"/>
    <w:rsid w:val="008B0BF5"/>
    <w:rsid w:val="008B6429"/>
    <w:rsid w:val="008C1C41"/>
    <w:rsid w:val="008C53FF"/>
    <w:rsid w:val="008E4807"/>
    <w:rsid w:val="008E60AB"/>
    <w:rsid w:val="008F47A1"/>
    <w:rsid w:val="008F6064"/>
    <w:rsid w:val="008F79C4"/>
    <w:rsid w:val="009018F3"/>
    <w:rsid w:val="00904299"/>
    <w:rsid w:val="0090587B"/>
    <w:rsid w:val="00907C6F"/>
    <w:rsid w:val="00916F09"/>
    <w:rsid w:val="009254E4"/>
    <w:rsid w:val="0093407B"/>
    <w:rsid w:val="00934DC3"/>
    <w:rsid w:val="009351EE"/>
    <w:rsid w:val="00941801"/>
    <w:rsid w:val="00945A7D"/>
    <w:rsid w:val="0094624A"/>
    <w:rsid w:val="009476DB"/>
    <w:rsid w:val="00962F8E"/>
    <w:rsid w:val="00963DC5"/>
    <w:rsid w:val="009671C0"/>
    <w:rsid w:val="0097342E"/>
    <w:rsid w:val="00974F71"/>
    <w:rsid w:val="009756D8"/>
    <w:rsid w:val="009766CE"/>
    <w:rsid w:val="0097747A"/>
    <w:rsid w:val="009822B0"/>
    <w:rsid w:val="00982648"/>
    <w:rsid w:val="00995018"/>
    <w:rsid w:val="009A2A63"/>
    <w:rsid w:val="009A2E6E"/>
    <w:rsid w:val="009B258A"/>
    <w:rsid w:val="009B45F8"/>
    <w:rsid w:val="009B6C78"/>
    <w:rsid w:val="009B77F4"/>
    <w:rsid w:val="009C24B7"/>
    <w:rsid w:val="009E48D1"/>
    <w:rsid w:val="00A039BC"/>
    <w:rsid w:val="00A06E76"/>
    <w:rsid w:val="00A11395"/>
    <w:rsid w:val="00A12C54"/>
    <w:rsid w:val="00A136A4"/>
    <w:rsid w:val="00A151C2"/>
    <w:rsid w:val="00A17560"/>
    <w:rsid w:val="00A21192"/>
    <w:rsid w:val="00A21553"/>
    <w:rsid w:val="00A2356B"/>
    <w:rsid w:val="00A2728E"/>
    <w:rsid w:val="00A32C58"/>
    <w:rsid w:val="00A50B88"/>
    <w:rsid w:val="00A52CDC"/>
    <w:rsid w:val="00A55620"/>
    <w:rsid w:val="00A61E57"/>
    <w:rsid w:val="00A629A9"/>
    <w:rsid w:val="00A6573D"/>
    <w:rsid w:val="00A71997"/>
    <w:rsid w:val="00A857B7"/>
    <w:rsid w:val="00A85CB4"/>
    <w:rsid w:val="00A9331D"/>
    <w:rsid w:val="00AB4D69"/>
    <w:rsid w:val="00AD134F"/>
    <w:rsid w:val="00AF6A5D"/>
    <w:rsid w:val="00B117DD"/>
    <w:rsid w:val="00B155F1"/>
    <w:rsid w:val="00B3275F"/>
    <w:rsid w:val="00B3739A"/>
    <w:rsid w:val="00B61435"/>
    <w:rsid w:val="00B65CEE"/>
    <w:rsid w:val="00B67477"/>
    <w:rsid w:val="00B77A1E"/>
    <w:rsid w:val="00B8129A"/>
    <w:rsid w:val="00B82AA2"/>
    <w:rsid w:val="00B87D6E"/>
    <w:rsid w:val="00B87D85"/>
    <w:rsid w:val="00BA39A8"/>
    <w:rsid w:val="00BA3E59"/>
    <w:rsid w:val="00BA7A1F"/>
    <w:rsid w:val="00BB0F02"/>
    <w:rsid w:val="00BB4D71"/>
    <w:rsid w:val="00BC44E6"/>
    <w:rsid w:val="00BD2760"/>
    <w:rsid w:val="00BD4DB2"/>
    <w:rsid w:val="00BD6FBA"/>
    <w:rsid w:val="00BE2202"/>
    <w:rsid w:val="00BE3440"/>
    <w:rsid w:val="00BE3A35"/>
    <w:rsid w:val="00BF2393"/>
    <w:rsid w:val="00BF4649"/>
    <w:rsid w:val="00C04051"/>
    <w:rsid w:val="00C0588A"/>
    <w:rsid w:val="00C23107"/>
    <w:rsid w:val="00C268DA"/>
    <w:rsid w:val="00C30FCB"/>
    <w:rsid w:val="00C4152C"/>
    <w:rsid w:val="00C478AA"/>
    <w:rsid w:val="00C5727E"/>
    <w:rsid w:val="00C6116F"/>
    <w:rsid w:val="00C644ED"/>
    <w:rsid w:val="00C83751"/>
    <w:rsid w:val="00C86629"/>
    <w:rsid w:val="00C91ACA"/>
    <w:rsid w:val="00C91FFE"/>
    <w:rsid w:val="00CA18AF"/>
    <w:rsid w:val="00CB3FDB"/>
    <w:rsid w:val="00CD060C"/>
    <w:rsid w:val="00CD09E8"/>
    <w:rsid w:val="00CD5579"/>
    <w:rsid w:val="00CE39C4"/>
    <w:rsid w:val="00CE3BD2"/>
    <w:rsid w:val="00D108E8"/>
    <w:rsid w:val="00D143F3"/>
    <w:rsid w:val="00D15C23"/>
    <w:rsid w:val="00D1659E"/>
    <w:rsid w:val="00D20280"/>
    <w:rsid w:val="00D2286A"/>
    <w:rsid w:val="00D2411E"/>
    <w:rsid w:val="00D37801"/>
    <w:rsid w:val="00D44207"/>
    <w:rsid w:val="00D4472A"/>
    <w:rsid w:val="00D45076"/>
    <w:rsid w:val="00D503F4"/>
    <w:rsid w:val="00D65971"/>
    <w:rsid w:val="00D663CB"/>
    <w:rsid w:val="00D84BBB"/>
    <w:rsid w:val="00D9137C"/>
    <w:rsid w:val="00D91FF1"/>
    <w:rsid w:val="00DA0656"/>
    <w:rsid w:val="00DB651E"/>
    <w:rsid w:val="00DC0B08"/>
    <w:rsid w:val="00DC1CDF"/>
    <w:rsid w:val="00DD02D0"/>
    <w:rsid w:val="00DD4356"/>
    <w:rsid w:val="00DD4499"/>
    <w:rsid w:val="00DD6F94"/>
    <w:rsid w:val="00DD7D8C"/>
    <w:rsid w:val="00DE4DD0"/>
    <w:rsid w:val="00DF259F"/>
    <w:rsid w:val="00DF2F88"/>
    <w:rsid w:val="00DF545F"/>
    <w:rsid w:val="00DF61F7"/>
    <w:rsid w:val="00DF660E"/>
    <w:rsid w:val="00DF7D63"/>
    <w:rsid w:val="00E002C9"/>
    <w:rsid w:val="00E05EB8"/>
    <w:rsid w:val="00E13966"/>
    <w:rsid w:val="00E14EF4"/>
    <w:rsid w:val="00E20A36"/>
    <w:rsid w:val="00E20E51"/>
    <w:rsid w:val="00E2249A"/>
    <w:rsid w:val="00E22D24"/>
    <w:rsid w:val="00E30275"/>
    <w:rsid w:val="00E31696"/>
    <w:rsid w:val="00E32208"/>
    <w:rsid w:val="00E323A1"/>
    <w:rsid w:val="00E33B45"/>
    <w:rsid w:val="00E37A3C"/>
    <w:rsid w:val="00E43EEE"/>
    <w:rsid w:val="00E443D5"/>
    <w:rsid w:val="00E503F7"/>
    <w:rsid w:val="00E6672C"/>
    <w:rsid w:val="00E67A5C"/>
    <w:rsid w:val="00E746AC"/>
    <w:rsid w:val="00E77257"/>
    <w:rsid w:val="00E804F9"/>
    <w:rsid w:val="00E83682"/>
    <w:rsid w:val="00E85FE5"/>
    <w:rsid w:val="00E9170F"/>
    <w:rsid w:val="00E934AB"/>
    <w:rsid w:val="00E94B2F"/>
    <w:rsid w:val="00E953D0"/>
    <w:rsid w:val="00EA0AC6"/>
    <w:rsid w:val="00EA7D61"/>
    <w:rsid w:val="00EB00B4"/>
    <w:rsid w:val="00EB1690"/>
    <w:rsid w:val="00EB2DD5"/>
    <w:rsid w:val="00EB4EBA"/>
    <w:rsid w:val="00EB7527"/>
    <w:rsid w:val="00EC10E5"/>
    <w:rsid w:val="00EC5578"/>
    <w:rsid w:val="00ED37B4"/>
    <w:rsid w:val="00ED51FC"/>
    <w:rsid w:val="00ED538B"/>
    <w:rsid w:val="00ED54DC"/>
    <w:rsid w:val="00EE15BD"/>
    <w:rsid w:val="00EF4CFB"/>
    <w:rsid w:val="00EF630D"/>
    <w:rsid w:val="00F21C58"/>
    <w:rsid w:val="00F24C78"/>
    <w:rsid w:val="00F27BCE"/>
    <w:rsid w:val="00F27D05"/>
    <w:rsid w:val="00F36EC7"/>
    <w:rsid w:val="00F418B5"/>
    <w:rsid w:val="00F4637B"/>
    <w:rsid w:val="00F544CA"/>
    <w:rsid w:val="00F654B6"/>
    <w:rsid w:val="00F66AAC"/>
    <w:rsid w:val="00F818AC"/>
    <w:rsid w:val="00F900A1"/>
    <w:rsid w:val="00F9587A"/>
    <w:rsid w:val="00FB0651"/>
    <w:rsid w:val="00FD0253"/>
    <w:rsid w:val="00FD3051"/>
    <w:rsid w:val="00FD3577"/>
    <w:rsid w:val="00FD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4CFA"/>
  <w15:chartTrackingRefBased/>
  <w15:docId w15:val="{6D6DEC35-DC37-4107-B611-687047EF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7C"/>
  </w:style>
  <w:style w:type="paragraph" w:styleId="Heading1">
    <w:name w:val="heading 1"/>
    <w:basedOn w:val="Normal"/>
    <w:next w:val="Normal"/>
    <w:link w:val="Heading1Char"/>
    <w:uiPriority w:val="9"/>
    <w:qFormat/>
    <w:rsid w:val="00B77A1E"/>
    <w:pPr>
      <w:keepNext/>
      <w:keepLines/>
      <w:spacing w:before="360" w:after="120"/>
      <w:jc w:val="center"/>
      <w:outlineLvl w:val="0"/>
    </w:pPr>
    <w:rPr>
      <w:rFonts w:ascii="Sylfaen" w:eastAsiaTheme="majorEastAsia" w:hAnsi="Sylfaen" w:cstheme="majorBidi"/>
      <w:b/>
      <w:sz w:val="24"/>
      <w:szCs w:val="32"/>
    </w:rPr>
  </w:style>
  <w:style w:type="paragraph" w:styleId="Heading2">
    <w:name w:val="heading 2"/>
    <w:basedOn w:val="Normal"/>
    <w:next w:val="Normal"/>
    <w:link w:val="Heading2Char"/>
    <w:uiPriority w:val="9"/>
    <w:unhideWhenUsed/>
    <w:qFormat/>
    <w:rsid w:val="00B77A1E"/>
    <w:pPr>
      <w:keepNext/>
      <w:keepLines/>
      <w:spacing w:before="280" w:after="240"/>
      <w:jc w:val="center"/>
      <w:outlineLvl w:val="1"/>
    </w:pPr>
    <w:rPr>
      <w:rFonts w:ascii="Sylfaen" w:eastAsiaTheme="majorEastAsia" w:hAnsi="Sylfae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8A037C"/>
    <w:pPr>
      <w:ind w:left="720"/>
      <w:contextualSpacing/>
    </w:pPr>
  </w:style>
  <w:style w:type="character" w:styleId="CommentReference">
    <w:name w:val="annotation reference"/>
    <w:basedOn w:val="DefaultParagraphFont"/>
    <w:uiPriority w:val="99"/>
    <w:semiHidden/>
    <w:unhideWhenUsed/>
    <w:rsid w:val="008A037C"/>
    <w:rPr>
      <w:sz w:val="16"/>
      <w:szCs w:val="16"/>
    </w:rPr>
  </w:style>
  <w:style w:type="paragraph" w:styleId="CommentText">
    <w:name w:val="annotation text"/>
    <w:basedOn w:val="Normal"/>
    <w:link w:val="CommentTextChar"/>
    <w:uiPriority w:val="99"/>
    <w:unhideWhenUsed/>
    <w:rsid w:val="008A037C"/>
    <w:pPr>
      <w:spacing w:line="240" w:lineRule="auto"/>
    </w:pPr>
    <w:rPr>
      <w:sz w:val="20"/>
      <w:szCs w:val="20"/>
    </w:rPr>
  </w:style>
  <w:style w:type="character" w:customStyle="1" w:styleId="CommentTextChar">
    <w:name w:val="Comment Text Char"/>
    <w:basedOn w:val="DefaultParagraphFont"/>
    <w:link w:val="CommentText"/>
    <w:uiPriority w:val="99"/>
    <w:rsid w:val="008A037C"/>
    <w:rPr>
      <w:sz w:val="20"/>
      <w:szCs w:val="20"/>
    </w:rPr>
  </w:style>
  <w:style w:type="paragraph" w:styleId="FootnoteText">
    <w:name w:val="footnote text"/>
    <w:basedOn w:val="Normal"/>
    <w:link w:val="FootnoteTextChar"/>
    <w:uiPriority w:val="99"/>
    <w:semiHidden/>
    <w:unhideWhenUsed/>
    <w:rsid w:val="008A0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37C"/>
    <w:rPr>
      <w:sz w:val="20"/>
      <w:szCs w:val="20"/>
    </w:rPr>
  </w:style>
  <w:style w:type="character" w:styleId="FootnoteReference">
    <w:name w:val="footnote reference"/>
    <w:basedOn w:val="DefaultParagraphFont"/>
    <w:uiPriority w:val="99"/>
    <w:semiHidden/>
    <w:unhideWhenUsed/>
    <w:rsid w:val="008A037C"/>
    <w:rPr>
      <w:vertAlign w:val="superscript"/>
    </w:rPr>
  </w:style>
  <w:style w:type="paragraph" w:styleId="BalloonText">
    <w:name w:val="Balloon Text"/>
    <w:basedOn w:val="Normal"/>
    <w:link w:val="BalloonTextChar"/>
    <w:uiPriority w:val="99"/>
    <w:semiHidden/>
    <w:unhideWhenUsed/>
    <w:rsid w:val="008A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170C"/>
    <w:rPr>
      <w:b/>
      <w:bCs/>
    </w:rPr>
  </w:style>
  <w:style w:type="character" w:customStyle="1" w:styleId="CommentSubjectChar">
    <w:name w:val="Comment Subject Char"/>
    <w:basedOn w:val="CommentTextChar"/>
    <w:link w:val="CommentSubject"/>
    <w:uiPriority w:val="99"/>
    <w:semiHidden/>
    <w:rsid w:val="0057170C"/>
    <w:rPr>
      <w:b/>
      <w:bCs/>
      <w:sz w:val="20"/>
      <w:szCs w:val="20"/>
    </w:rPr>
  </w:style>
  <w:style w:type="character" w:customStyle="1" w:styleId="Heading1Char">
    <w:name w:val="Heading 1 Char"/>
    <w:basedOn w:val="DefaultParagraphFont"/>
    <w:link w:val="Heading1"/>
    <w:uiPriority w:val="9"/>
    <w:rsid w:val="00B77A1E"/>
    <w:rPr>
      <w:rFonts w:ascii="Sylfaen" w:eastAsiaTheme="majorEastAsia" w:hAnsi="Sylfaen" w:cstheme="majorBidi"/>
      <w:b/>
      <w:sz w:val="24"/>
      <w:szCs w:val="32"/>
    </w:rPr>
  </w:style>
  <w:style w:type="character" w:customStyle="1" w:styleId="Heading2Char">
    <w:name w:val="Heading 2 Char"/>
    <w:basedOn w:val="DefaultParagraphFont"/>
    <w:link w:val="Heading2"/>
    <w:uiPriority w:val="9"/>
    <w:rsid w:val="00B77A1E"/>
    <w:rPr>
      <w:rFonts w:ascii="Sylfaen" w:eastAsiaTheme="majorEastAsia" w:hAnsi="Sylfaen" w:cstheme="majorBidi"/>
      <w:b/>
      <w:sz w:val="24"/>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6F1EC2"/>
  </w:style>
  <w:style w:type="paragraph" w:styleId="Header">
    <w:name w:val="header"/>
    <w:basedOn w:val="Normal"/>
    <w:link w:val="HeaderChar"/>
    <w:uiPriority w:val="99"/>
    <w:unhideWhenUsed/>
    <w:rsid w:val="00C4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52C"/>
  </w:style>
  <w:style w:type="paragraph" w:styleId="Footer">
    <w:name w:val="footer"/>
    <w:basedOn w:val="Normal"/>
    <w:link w:val="FooterChar"/>
    <w:uiPriority w:val="99"/>
    <w:unhideWhenUsed/>
    <w:rsid w:val="00C4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52C"/>
  </w:style>
  <w:style w:type="character" w:styleId="Hyperlink">
    <w:name w:val="Hyperlink"/>
    <w:basedOn w:val="DefaultParagraphFont"/>
    <w:uiPriority w:val="99"/>
    <w:unhideWhenUsed/>
    <w:rsid w:val="00695BA3"/>
    <w:rPr>
      <w:color w:val="0563C1" w:themeColor="hyperlink"/>
      <w:u w:val="single"/>
    </w:rPr>
  </w:style>
  <w:style w:type="table" w:styleId="TableGrid">
    <w:name w:val="Table Grid"/>
    <w:basedOn w:val="TableNormal"/>
    <w:uiPriority w:val="39"/>
    <w:rsid w:val="00C6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6322">
      <w:bodyDiv w:val="1"/>
      <w:marLeft w:val="0"/>
      <w:marRight w:val="0"/>
      <w:marTop w:val="0"/>
      <w:marBottom w:val="0"/>
      <w:divBdr>
        <w:top w:val="none" w:sz="0" w:space="0" w:color="auto"/>
        <w:left w:val="none" w:sz="0" w:space="0" w:color="auto"/>
        <w:bottom w:val="none" w:sz="0" w:space="0" w:color="auto"/>
        <w:right w:val="none" w:sz="0" w:space="0" w:color="auto"/>
      </w:divBdr>
    </w:div>
    <w:div w:id="747575661">
      <w:bodyDiv w:val="1"/>
      <w:marLeft w:val="0"/>
      <w:marRight w:val="0"/>
      <w:marTop w:val="0"/>
      <w:marBottom w:val="0"/>
      <w:divBdr>
        <w:top w:val="none" w:sz="0" w:space="0" w:color="auto"/>
        <w:left w:val="none" w:sz="0" w:space="0" w:color="auto"/>
        <w:bottom w:val="none" w:sz="0" w:space="0" w:color="auto"/>
        <w:right w:val="none" w:sz="0" w:space="0" w:color="auto"/>
      </w:divBdr>
    </w:div>
    <w:div w:id="1215048067">
      <w:bodyDiv w:val="1"/>
      <w:marLeft w:val="0"/>
      <w:marRight w:val="0"/>
      <w:marTop w:val="0"/>
      <w:marBottom w:val="0"/>
      <w:divBdr>
        <w:top w:val="none" w:sz="0" w:space="0" w:color="auto"/>
        <w:left w:val="none" w:sz="0" w:space="0" w:color="auto"/>
        <w:bottom w:val="none" w:sz="0" w:space="0" w:color="auto"/>
        <w:right w:val="none" w:sz="0" w:space="0" w:color="auto"/>
      </w:divBdr>
    </w:div>
    <w:div w:id="1612516205">
      <w:bodyDiv w:val="1"/>
      <w:marLeft w:val="0"/>
      <w:marRight w:val="0"/>
      <w:marTop w:val="0"/>
      <w:marBottom w:val="0"/>
      <w:divBdr>
        <w:top w:val="none" w:sz="0" w:space="0" w:color="auto"/>
        <w:left w:val="none" w:sz="0" w:space="0" w:color="auto"/>
        <w:bottom w:val="none" w:sz="0" w:space="0" w:color="auto"/>
        <w:right w:val="none" w:sz="0" w:space="0" w:color="auto"/>
      </w:divBdr>
    </w:div>
    <w:div w:id="1842814363">
      <w:bodyDiv w:val="1"/>
      <w:marLeft w:val="0"/>
      <w:marRight w:val="0"/>
      <w:marTop w:val="0"/>
      <w:marBottom w:val="0"/>
      <w:divBdr>
        <w:top w:val="none" w:sz="0" w:space="0" w:color="auto"/>
        <w:left w:val="none" w:sz="0" w:space="0" w:color="auto"/>
        <w:bottom w:val="none" w:sz="0" w:space="0" w:color="auto"/>
        <w:right w:val="none" w:sz="0" w:space="0" w:color="auto"/>
      </w:divBdr>
    </w:div>
    <w:div w:id="1867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B2BC-515E-41F3-8BAD-F9F8AA20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dc:creator>
  <cp:keywords/>
  <dc:description/>
  <cp:lastModifiedBy>Administrator</cp:lastModifiedBy>
  <cp:revision>3</cp:revision>
  <dcterms:created xsi:type="dcterms:W3CDTF">2024-01-09T07:04:00Z</dcterms:created>
  <dcterms:modified xsi:type="dcterms:W3CDTF">2024-01-16T13:53:00Z</dcterms:modified>
</cp:coreProperties>
</file>